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7D05E8">
      <w:pPr>
        <w:widowControl/>
        <w:adjustRightInd w:val="0"/>
        <w:snapToGrid w:val="0"/>
        <w:spacing w:line="360" w:lineRule="auto"/>
        <w:jc w:val="center"/>
        <w:rPr>
          <w:rFonts w:eastAsia="黑体"/>
          <w:b/>
          <w:sz w:val="36"/>
          <w:szCs w:val="36"/>
        </w:rPr>
      </w:pPr>
    </w:p>
    <w:p w14:paraId="76584D8D">
      <w:pPr>
        <w:widowControl/>
        <w:adjustRightInd w:val="0"/>
        <w:snapToGrid w:val="0"/>
        <w:spacing w:line="360" w:lineRule="auto"/>
        <w:jc w:val="center"/>
        <w:rPr>
          <w:rFonts w:eastAsia="黑体"/>
          <w:b/>
          <w:sz w:val="36"/>
          <w:szCs w:val="36"/>
        </w:rPr>
      </w:pPr>
    </w:p>
    <w:p w14:paraId="34A403DF">
      <w:pPr>
        <w:widowControl/>
        <w:adjustRightInd w:val="0"/>
        <w:snapToGrid w:val="0"/>
        <w:spacing w:line="360" w:lineRule="auto"/>
        <w:jc w:val="center"/>
        <w:rPr>
          <w:rFonts w:eastAsia="黑体"/>
          <w:b/>
          <w:sz w:val="36"/>
          <w:szCs w:val="36"/>
        </w:rPr>
      </w:pPr>
    </w:p>
    <w:p w14:paraId="13356059">
      <w:pPr>
        <w:jc w:val="center"/>
        <w:rPr>
          <w:rFonts w:ascii="黑体" w:hAnsi="黑体" w:eastAsia="黑体" w:cs="黑体"/>
          <w:b/>
          <w:bCs/>
          <w:sz w:val="36"/>
          <w:szCs w:val="36"/>
        </w:rPr>
      </w:pPr>
      <w:bookmarkStart w:id="0" w:name="_Toc20198"/>
      <w:bookmarkStart w:id="1" w:name="_Toc11679"/>
      <w:r>
        <w:rPr>
          <w:rFonts w:hint="eastAsia" w:ascii="黑体" w:hAnsi="黑体" w:eastAsia="黑体" w:cs="黑体"/>
          <w:b/>
          <w:bCs/>
          <w:sz w:val="36"/>
          <w:szCs w:val="36"/>
        </w:rPr>
        <w:t>《滨海淤泥质滩涂水鸟高潮位栖息地</w:t>
      </w:r>
      <w:bookmarkEnd w:id="0"/>
      <w:bookmarkEnd w:id="1"/>
    </w:p>
    <w:p w14:paraId="01BE041D">
      <w:pPr>
        <w:jc w:val="center"/>
        <w:rPr>
          <w:rFonts w:ascii="黑体" w:hAnsi="黑体" w:eastAsia="黑体" w:cs="黑体"/>
          <w:b/>
          <w:bCs/>
          <w:sz w:val="36"/>
          <w:szCs w:val="36"/>
        </w:rPr>
      </w:pPr>
      <w:r>
        <w:rPr>
          <w:rFonts w:hint="eastAsia" w:ascii="黑体" w:hAnsi="黑体" w:eastAsia="黑体" w:cs="黑体"/>
          <w:b/>
          <w:bCs/>
          <w:sz w:val="36"/>
          <w:szCs w:val="36"/>
        </w:rPr>
        <w:t>保护修复技术规程》</w:t>
      </w:r>
    </w:p>
    <w:p w14:paraId="71B06E7A">
      <w:pPr>
        <w:jc w:val="center"/>
        <w:rPr>
          <w:rFonts w:ascii="黑体" w:hAnsi="黑体" w:eastAsia="黑体" w:cs="黑体"/>
          <w:b/>
          <w:bCs/>
          <w:sz w:val="36"/>
          <w:szCs w:val="36"/>
        </w:rPr>
      </w:pPr>
      <w:bookmarkStart w:id="2" w:name="_Toc270945147"/>
      <w:r>
        <w:rPr>
          <w:rFonts w:hint="eastAsia" w:ascii="黑体" w:hAnsi="黑体" w:eastAsia="黑体" w:cs="黑体"/>
          <w:b/>
          <w:bCs/>
          <w:sz w:val="36"/>
          <w:szCs w:val="36"/>
        </w:rPr>
        <w:t>编制说明</w:t>
      </w:r>
      <w:bookmarkEnd w:id="2"/>
    </w:p>
    <w:p w14:paraId="188B2307">
      <w:pPr>
        <w:jc w:val="center"/>
        <w:rPr>
          <w:rFonts w:ascii="黑体" w:hAnsi="黑体" w:eastAsia="黑体" w:cs="黑体"/>
          <w:b/>
          <w:bCs/>
          <w:sz w:val="36"/>
          <w:szCs w:val="36"/>
        </w:rPr>
      </w:pPr>
      <w:bookmarkStart w:id="3" w:name="_Toc2710"/>
      <w:bookmarkStart w:id="4" w:name="_Toc12048"/>
      <w:r>
        <w:rPr>
          <w:rFonts w:hint="eastAsia" w:ascii="黑体" w:hAnsi="黑体" w:eastAsia="黑体" w:cs="黑体"/>
          <w:b/>
          <w:bCs/>
          <w:sz w:val="36"/>
          <w:szCs w:val="36"/>
        </w:rPr>
        <w:t>（建议稿）</w:t>
      </w:r>
      <w:bookmarkEnd w:id="3"/>
      <w:bookmarkEnd w:id="4"/>
    </w:p>
    <w:p w14:paraId="2CCB92E5">
      <w:pPr>
        <w:widowControl/>
        <w:adjustRightInd w:val="0"/>
        <w:snapToGrid w:val="0"/>
        <w:spacing w:line="360" w:lineRule="auto"/>
        <w:jc w:val="center"/>
        <w:rPr>
          <w:rFonts w:eastAsia="黑体"/>
        </w:rPr>
      </w:pPr>
    </w:p>
    <w:p w14:paraId="18CF1C62">
      <w:pPr>
        <w:widowControl/>
        <w:adjustRightInd w:val="0"/>
        <w:snapToGrid w:val="0"/>
        <w:spacing w:line="360" w:lineRule="auto"/>
        <w:jc w:val="center"/>
        <w:rPr>
          <w:rFonts w:eastAsia="黑体"/>
        </w:rPr>
      </w:pPr>
    </w:p>
    <w:p w14:paraId="5C809020">
      <w:pPr>
        <w:widowControl/>
        <w:adjustRightInd w:val="0"/>
        <w:snapToGrid w:val="0"/>
        <w:spacing w:line="360" w:lineRule="auto"/>
        <w:jc w:val="center"/>
        <w:rPr>
          <w:rFonts w:eastAsia="黑体"/>
        </w:rPr>
      </w:pPr>
    </w:p>
    <w:p w14:paraId="4B260220">
      <w:pPr>
        <w:widowControl/>
        <w:adjustRightInd w:val="0"/>
        <w:snapToGrid w:val="0"/>
        <w:spacing w:line="360" w:lineRule="auto"/>
        <w:jc w:val="center"/>
        <w:rPr>
          <w:rFonts w:eastAsia="黑体"/>
        </w:rPr>
      </w:pPr>
    </w:p>
    <w:p w14:paraId="0C2C720D">
      <w:pPr>
        <w:widowControl/>
        <w:adjustRightInd w:val="0"/>
        <w:snapToGrid w:val="0"/>
        <w:spacing w:line="360" w:lineRule="auto"/>
        <w:jc w:val="center"/>
        <w:rPr>
          <w:rFonts w:eastAsia="黑体"/>
        </w:rPr>
      </w:pPr>
    </w:p>
    <w:p w14:paraId="202009D5">
      <w:pPr>
        <w:widowControl/>
        <w:adjustRightInd w:val="0"/>
        <w:snapToGrid w:val="0"/>
        <w:spacing w:line="360" w:lineRule="auto"/>
        <w:jc w:val="center"/>
        <w:rPr>
          <w:rFonts w:eastAsia="黑体"/>
        </w:rPr>
      </w:pPr>
    </w:p>
    <w:p w14:paraId="0825F132">
      <w:pPr>
        <w:widowControl/>
        <w:adjustRightInd w:val="0"/>
        <w:snapToGrid w:val="0"/>
        <w:spacing w:line="360" w:lineRule="auto"/>
        <w:jc w:val="center"/>
        <w:rPr>
          <w:rFonts w:eastAsia="黑体"/>
        </w:rPr>
      </w:pPr>
    </w:p>
    <w:p w14:paraId="32A2C336">
      <w:pPr>
        <w:widowControl/>
        <w:adjustRightInd w:val="0"/>
        <w:snapToGrid w:val="0"/>
        <w:spacing w:line="360" w:lineRule="auto"/>
        <w:jc w:val="center"/>
        <w:rPr>
          <w:rFonts w:eastAsia="黑体"/>
        </w:rPr>
      </w:pPr>
    </w:p>
    <w:p w14:paraId="2927C35D">
      <w:pPr>
        <w:widowControl/>
        <w:adjustRightInd w:val="0"/>
        <w:snapToGrid w:val="0"/>
        <w:spacing w:line="360" w:lineRule="auto"/>
        <w:jc w:val="center"/>
        <w:rPr>
          <w:rFonts w:eastAsia="黑体"/>
        </w:rPr>
      </w:pPr>
    </w:p>
    <w:p w14:paraId="757E8AF8">
      <w:pPr>
        <w:widowControl/>
        <w:adjustRightInd w:val="0"/>
        <w:snapToGrid w:val="0"/>
        <w:spacing w:line="360" w:lineRule="auto"/>
        <w:jc w:val="center"/>
        <w:rPr>
          <w:rFonts w:eastAsia="黑体"/>
        </w:rPr>
      </w:pPr>
    </w:p>
    <w:p w14:paraId="12A6312D">
      <w:pPr>
        <w:widowControl/>
        <w:adjustRightInd w:val="0"/>
        <w:snapToGrid w:val="0"/>
        <w:spacing w:line="360" w:lineRule="auto"/>
        <w:jc w:val="center"/>
        <w:rPr>
          <w:rFonts w:eastAsia="黑体"/>
        </w:rPr>
      </w:pPr>
    </w:p>
    <w:p w14:paraId="0CB9402D">
      <w:pPr>
        <w:widowControl/>
        <w:adjustRightInd w:val="0"/>
        <w:snapToGrid w:val="0"/>
        <w:spacing w:line="360" w:lineRule="auto"/>
        <w:jc w:val="center"/>
        <w:rPr>
          <w:rFonts w:eastAsia="黑体"/>
        </w:rPr>
      </w:pPr>
    </w:p>
    <w:p w14:paraId="39DFB3FF">
      <w:pPr>
        <w:widowControl/>
        <w:adjustRightInd w:val="0"/>
        <w:snapToGrid w:val="0"/>
        <w:spacing w:line="360" w:lineRule="auto"/>
        <w:jc w:val="center"/>
        <w:rPr>
          <w:rFonts w:eastAsia="黑体"/>
        </w:rPr>
      </w:pPr>
    </w:p>
    <w:p w14:paraId="56091993">
      <w:pPr>
        <w:widowControl/>
        <w:adjustRightInd w:val="0"/>
        <w:snapToGrid w:val="0"/>
        <w:spacing w:line="360" w:lineRule="auto"/>
        <w:jc w:val="center"/>
        <w:rPr>
          <w:rFonts w:eastAsia="黑体"/>
        </w:rPr>
      </w:pPr>
    </w:p>
    <w:p w14:paraId="3626F15F">
      <w:pPr>
        <w:jc w:val="center"/>
        <w:rPr>
          <w:rFonts w:ascii="楷体" w:hAnsi="楷体" w:eastAsia="楷体" w:cs="楷体"/>
          <w:b/>
          <w:bCs/>
          <w:sz w:val="28"/>
          <w:szCs w:val="28"/>
        </w:rPr>
      </w:pPr>
      <w:bookmarkStart w:id="5" w:name="_Toc9906"/>
      <w:bookmarkStart w:id="6" w:name="_Toc270945148"/>
      <w:bookmarkStart w:id="7" w:name="_Toc17982"/>
      <w:r>
        <w:rPr>
          <w:rFonts w:hint="eastAsia" w:ascii="楷体" w:hAnsi="楷体" w:eastAsia="楷体" w:cs="楷体"/>
          <w:b/>
          <w:bCs/>
          <w:sz w:val="28"/>
          <w:szCs w:val="28"/>
        </w:rPr>
        <w:t>《滨海淤泥质滩涂水鸟高潮位栖息地保护修复技术规程》编制组</w:t>
      </w:r>
      <w:bookmarkEnd w:id="5"/>
      <w:bookmarkEnd w:id="6"/>
      <w:bookmarkEnd w:id="7"/>
    </w:p>
    <w:p w14:paraId="31E7ACA7">
      <w:pPr>
        <w:jc w:val="center"/>
        <w:rPr>
          <w:rFonts w:ascii="楷体" w:hAnsi="楷体" w:eastAsia="楷体" w:cs="楷体"/>
          <w:b/>
          <w:bCs/>
          <w:sz w:val="28"/>
          <w:szCs w:val="28"/>
        </w:rPr>
        <w:sectPr>
          <w:pgSz w:w="11906" w:h="16838"/>
          <w:pgMar w:top="1440" w:right="1800" w:bottom="1440" w:left="1800" w:header="851" w:footer="992" w:gutter="0"/>
          <w:pgNumType w:fmt="numberInDash"/>
          <w:cols w:space="425" w:num="1"/>
          <w:docGrid w:type="lines" w:linePitch="312" w:charSpace="0"/>
        </w:sectPr>
      </w:pPr>
      <w:bookmarkStart w:id="8" w:name="_Toc270945149"/>
      <w:r>
        <w:rPr>
          <w:rFonts w:hint="eastAsia" w:ascii="楷体" w:hAnsi="楷体" w:eastAsia="楷体" w:cs="楷体"/>
          <w:b/>
          <w:bCs/>
          <w:sz w:val="28"/>
          <w:szCs w:val="28"/>
        </w:rPr>
        <w:t>二O二四年七月</w:t>
      </w:r>
      <w:bookmarkEnd w:id="8"/>
    </w:p>
    <w:p w14:paraId="0058A8ED">
      <w:pPr>
        <w:widowControl/>
        <w:adjustRightInd w:val="0"/>
        <w:snapToGrid w:val="0"/>
        <w:spacing w:line="360" w:lineRule="auto"/>
        <w:jc w:val="center"/>
        <w:rPr>
          <w:rFonts w:eastAsia="楷体_GB2312"/>
          <w:b/>
          <w:sz w:val="28"/>
          <w:szCs w:val="28"/>
        </w:rPr>
        <w:sectPr>
          <w:pgSz w:w="11906" w:h="16838"/>
          <w:pgMar w:top="1440" w:right="1800" w:bottom="1440" w:left="1800" w:header="851" w:footer="992" w:gutter="0"/>
          <w:pgNumType w:fmt="numberInDash"/>
          <w:cols w:space="425" w:num="1"/>
          <w:docGrid w:type="lines" w:linePitch="312" w:charSpace="0"/>
        </w:sectPr>
      </w:pPr>
    </w:p>
    <w:sdt>
      <w:sdtPr>
        <w:rPr>
          <w:rFonts w:hint="eastAsia" w:ascii="黑体" w:hAnsi="黑体" w:eastAsia="黑体" w:cs="黑体"/>
          <w:sz w:val="36"/>
          <w:szCs w:val="36"/>
        </w:rPr>
        <w:id w:val="147477589"/>
        <w15:color w:val="DBDBDB"/>
        <w:docPartObj>
          <w:docPartGallery w:val="Table of Contents"/>
          <w:docPartUnique/>
        </w:docPartObj>
      </w:sdtPr>
      <w:sdtEndPr>
        <w:rPr>
          <w:rFonts w:hint="eastAsia" w:ascii="黑体" w:hAnsi="黑体" w:eastAsia="黑体" w:cs="黑体"/>
          <w:b/>
          <w:sz w:val="36"/>
          <w:szCs w:val="36"/>
        </w:rPr>
      </w:sdtEndPr>
      <w:sdtContent>
        <w:p w14:paraId="5C0A1DA1">
          <w:pPr>
            <w:spacing w:before="260" w:after="260"/>
            <w:jc w:val="center"/>
            <w:rPr>
              <w:rFonts w:ascii="黑体" w:hAnsi="黑体" w:eastAsia="黑体" w:cs="黑体"/>
              <w:sz w:val="36"/>
              <w:szCs w:val="36"/>
            </w:rPr>
          </w:pPr>
          <w:bookmarkStart w:id="9" w:name="_Toc6667"/>
          <w:bookmarkStart w:id="10" w:name="_Toc1448"/>
          <w:bookmarkStart w:id="11" w:name="_Toc118217815"/>
          <w:r>
            <w:rPr>
              <w:rFonts w:hint="eastAsia" w:ascii="黑体" w:hAnsi="黑体" w:eastAsia="黑体" w:cs="黑体"/>
              <w:sz w:val="36"/>
              <w:szCs w:val="36"/>
            </w:rPr>
            <w:t>目  录</w:t>
          </w:r>
          <w:bookmarkEnd w:id="9"/>
        </w:p>
        <w:p w14:paraId="0B1F9A55">
          <w:pPr>
            <w:pStyle w:val="9"/>
            <w:tabs>
              <w:tab w:val="right" w:leader="dot" w:pos="8306"/>
            </w:tabs>
            <w:spacing w:line="360" w:lineRule="auto"/>
          </w:pPr>
          <w:r>
            <w:fldChar w:fldCharType="begin"/>
          </w:r>
          <w:r>
            <w:instrText xml:space="preserve">TOC \o "1-2" \h \u </w:instrText>
          </w:r>
          <w:r>
            <w:fldChar w:fldCharType="separate"/>
          </w:r>
          <w:r>
            <w:fldChar w:fldCharType="begin"/>
          </w:r>
          <w:r>
            <w:instrText xml:space="preserve"> HYPERLINK \l "_Toc13563" </w:instrText>
          </w:r>
          <w:r>
            <w:fldChar w:fldCharType="separate"/>
          </w:r>
          <w:r>
            <w:rPr>
              <w:rStyle w:val="16"/>
              <w:rFonts w:ascii="黑体" w:hAnsi="黑体" w:eastAsia="黑体"/>
            </w:rPr>
            <w:t>一、</w:t>
          </w:r>
          <w:r>
            <w:rPr>
              <w:rStyle w:val="16"/>
              <w:rFonts w:hint="eastAsia" w:ascii="黑体" w:hAnsi="黑体" w:eastAsia="黑体"/>
            </w:rPr>
            <w:t>工作简况</w:t>
          </w:r>
          <w:r>
            <w:rPr>
              <w:rStyle w:val="16"/>
              <w:rFonts w:ascii="黑体" w:hAnsi="黑体" w:eastAsia="黑体"/>
            </w:rPr>
            <w:tab/>
          </w:r>
          <w:r>
            <w:rPr>
              <w:rStyle w:val="16"/>
              <w:rFonts w:ascii="黑体" w:hAnsi="黑体" w:eastAsia="黑体"/>
            </w:rPr>
            <w:fldChar w:fldCharType="begin"/>
          </w:r>
          <w:r>
            <w:rPr>
              <w:rStyle w:val="16"/>
              <w:rFonts w:ascii="黑体" w:hAnsi="黑体" w:eastAsia="黑体"/>
            </w:rPr>
            <w:instrText xml:space="preserve"> PAGEREF _Toc13563 \h </w:instrText>
          </w:r>
          <w:r>
            <w:rPr>
              <w:rStyle w:val="16"/>
              <w:rFonts w:ascii="黑体" w:hAnsi="黑体" w:eastAsia="黑体"/>
            </w:rPr>
            <w:fldChar w:fldCharType="separate"/>
          </w:r>
          <w:r>
            <w:rPr>
              <w:rStyle w:val="16"/>
              <w:rFonts w:ascii="黑体" w:hAnsi="黑体" w:eastAsia="黑体"/>
            </w:rPr>
            <w:t>- 1 -</w:t>
          </w:r>
          <w:r>
            <w:rPr>
              <w:rStyle w:val="16"/>
              <w:rFonts w:ascii="黑体" w:hAnsi="黑体" w:eastAsia="黑体"/>
            </w:rPr>
            <w:fldChar w:fldCharType="end"/>
          </w:r>
          <w:r>
            <w:rPr>
              <w:rStyle w:val="16"/>
              <w:rFonts w:ascii="黑体" w:hAnsi="黑体" w:eastAsia="黑体"/>
            </w:rPr>
            <w:fldChar w:fldCharType="end"/>
          </w:r>
        </w:p>
        <w:p w14:paraId="5670777C">
          <w:pPr>
            <w:pStyle w:val="10"/>
            <w:tabs>
              <w:tab w:val="right" w:leader="dot" w:pos="8306"/>
            </w:tabs>
            <w:spacing w:line="360" w:lineRule="auto"/>
          </w:pPr>
          <w:r>
            <w:fldChar w:fldCharType="begin"/>
          </w:r>
          <w:r>
            <w:instrText xml:space="preserve"> HYPERLINK \l "_Toc21638" </w:instrText>
          </w:r>
          <w:r>
            <w:fldChar w:fldCharType="separate"/>
          </w:r>
          <w:r>
            <w:t>（一）</w:t>
          </w:r>
          <w:r>
            <w:rPr>
              <w:rFonts w:hint="eastAsia"/>
            </w:rPr>
            <w:t>任务来源</w:t>
          </w:r>
          <w:r>
            <w:tab/>
          </w:r>
          <w:r>
            <w:fldChar w:fldCharType="begin"/>
          </w:r>
          <w:r>
            <w:instrText xml:space="preserve"> PAGEREF _Toc21638 \h </w:instrText>
          </w:r>
          <w:r>
            <w:fldChar w:fldCharType="separate"/>
          </w:r>
          <w:r>
            <w:t>- 1 -</w:t>
          </w:r>
          <w:r>
            <w:fldChar w:fldCharType="end"/>
          </w:r>
          <w:r>
            <w:fldChar w:fldCharType="end"/>
          </w:r>
        </w:p>
        <w:p w14:paraId="33A4AA43">
          <w:pPr>
            <w:pStyle w:val="10"/>
            <w:tabs>
              <w:tab w:val="right" w:leader="dot" w:pos="8306"/>
            </w:tabs>
            <w:spacing w:line="360" w:lineRule="auto"/>
          </w:pPr>
          <w:r>
            <w:fldChar w:fldCharType="begin"/>
          </w:r>
          <w:r>
            <w:instrText xml:space="preserve"> HYPERLINK \l "_Toc12561" </w:instrText>
          </w:r>
          <w:r>
            <w:fldChar w:fldCharType="separate"/>
          </w:r>
          <w:r>
            <w:t>（</w:t>
          </w:r>
          <w:r>
            <w:rPr>
              <w:rFonts w:hint="eastAsia"/>
            </w:rPr>
            <w:t>二</w:t>
          </w:r>
          <w:r>
            <w:t>）</w:t>
          </w:r>
          <w:r>
            <w:rPr>
              <w:rFonts w:hint="eastAsia"/>
            </w:rPr>
            <w:t>协作</w:t>
          </w:r>
          <w:r>
            <w:t>单位</w:t>
          </w:r>
          <w:r>
            <w:tab/>
          </w:r>
          <w:r>
            <w:fldChar w:fldCharType="begin"/>
          </w:r>
          <w:r>
            <w:instrText xml:space="preserve"> PAGEREF _Toc12561 \h </w:instrText>
          </w:r>
          <w:r>
            <w:fldChar w:fldCharType="separate"/>
          </w:r>
          <w:r>
            <w:t>- 1 -</w:t>
          </w:r>
          <w:r>
            <w:fldChar w:fldCharType="end"/>
          </w:r>
          <w:r>
            <w:fldChar w:fldCharType="end"/>
          </w:r>
        </w:p>
        <w:p w14:paraId="4F249A7D">
          <w:pPr>
            <w:pStyle w:val="10"/>
            <w:tabs>
              <w:tab w:val="right" w:leader="dot" w:pos="8306"/>
            </w:tabs>
            <w:spacing w:line="360" w:lineRule="auto"/>
          </w:pPr>
          <w:r>
            <w:fldChar w:fldCharType="begin"/>
          </w:r>
          <w:r>
            <w:instrText xml:space="preserve"> HYPERLINK \l "_Toc11294" </w:instrText>
          </w:r>
          <w:r>
            <w:fldChar w:fldCharType="separate"/>
          </w:r>
          <w:r>
            <w:t>（</w:t>
          </w:r>
          <w:r>
            <w:rPr>
              <w:rFonts w:hint="eastAsia"/>
            </w:rPr>
            <w:t>三</w:t>
          </w:r>
          <w:r>
            <w:t>）主要工作过程</w:t>
          </w:r>
          <w:r>
            <w:tab/>
          </w:r>
          <w:r>
            <w:fldChar w:fldCharType="begin"/>
          </w:r>
          <w:r>
            <w:instrText xml:space="preserve"> PAGEREF _Toc11294 \h </w:instrText>
          </w:r>
          <w:r>
            <w:fldChar w:fldCharType="separate"/>
          </w:r>
          <w:r>
            <w:t>- 2 -</w:t>
          </w:r>
          <w:r>
            <w:fldChar w:fldCharType="end"/>
          </w:r>
          <w:r>
            <w:fldChar w:fldCharType="end"/>
          </w:r>
        </w:p>
        <w:p w14:paraId="4A47988F">
          <w:pPr>
            <w:pStyle w:val="10"/>
            <w:tabs>
              <w:tab w:val="right" w:leader="dot" w:pos="8306"/>
            </w:tabs>
            <w:spacing w:line="360" w:lineRule="auto"/>
          </w:pPr>
          <w:r>
            <w:fldChar w:fldCharType="begin"/>
          </w:r>
          <w:r>
            <w:instrText xml:space="preserve"> HYPERLINK \l "_Toc602" </w:instrText>
          </w:r>
          <w:r>
            <w:fldChar w:fldCharType="separate"/>
          </w:r>
          <w:r>
            <w:t>（</w:t>
          </w:r>
          <w:r>
            <w:rPr>
              <w:rFonts w:hint="eastAsia"/>
            </w:rPr>
            <w:t>四</w:t>
          </w:r>
          <w:r>
            <w:t>）标准</w:t>
          </w:r>
          <w:r>
            <w:rPr>
              <w:rFonts w:hint="eastAsia"/>
            </w:rPr>
            <w:t>主要</w:t>
          </w:r>
          <w:r>
            <w:t>起草人</w:t>
          </w:r>
          <w:r>
            <w:rPr>
              <w:rFonts w:hint="eastAsia"/>
            </w:rPr>
            <w:t>及其所做的工作</w:t>
          </w:r>
          <w:r>
            <w:tab/>
          </w:r>
          <w:r>
            <w:fldChar w:fldCharType="begin"/>
          </w:r>
          <w:r>
            <w:instrText xml:space="preserve"> PAGEREF _Toc602 \h </w:instrText>
          </w:r>
          <w:r>
            <w:fldChar w:fldCharType="separate"/>
          </w:r>
          <w:r>
            <w:t>- 2 -</w:t>
          </w:r>
          <w:r>
            <w:fldChar w:fldCharType="end"/>
          </w:r>
          <w:r>
            <w:fldChar w:fldCharType="end"/>
          </w:r>
        </w:p>
        <w:p w14:paraId="37B4760C">
          <w:pPr>
            <w:pStyle w:val="9"/>
            <w:tabs>
              <w:tab w:val="right" w:leader="dot" w:pos="8306"/>
            </w:tabs>
            <w:spacing w:line="360" w:lineRule="auto"/>
          </w:pPr>
          <w:r>
            <w:fldChar w:fldCharType="begin"/>
          </w:r>
          <w:r>
            <w:instrText xml:space="preserve"> HYPERLINK \l "_Toc32049" </w:instrText>
          </w:r>
          <w:r>
            <w:fldChar w:fldCharType="separate"/>
          </w:r>
          <w:r>
            <w:rPr>
              <w:rStyle w:val="16"/>
              <w:rFonts w:hint="eastAsia" w:ascii="黑体" w:hAnsi="黑体" w:eastAsia="黑体"/>
            </w:rPr>
            <w:t>二</w:t>
          </w:r>
          <w:r>
            <w:rPr>
              <w:rStyle w:val="16"/>
              <w:rFonts w:ascii="黑体" w:hAnsi="黑体" w:eastAsia="黑体"/>
            </w:rPr>
            <w:t>、标准编制原则和确定标准主要内容</w:t>
          </w:r>
          <w:r>
            <w:rPr>
              <w:rStyle w:val="16"/>
              <w:rFonts w:hint="eastAsia" w:ascii="黑体" w:hAnsi="黑体" w:eastAsia="黑体"/>
            </w:rPr>
            <w:t>及</w:t>
          </w:r>
          <w:r>
            <w:rPr>
              <w:rStyle w:val="16"/>
              <w:rFonts w:ascii="黑体" w:hAnsi="黑体" w:eastAsia="黑体"/>
            </w:rPr>
            <w:t>论据</w:t>
          </w:r>
          <w:r>
            <w:rPr>
              <w:rStyle w:val="16"/>
              <w:rFonts w:ascii="黑体" w:hAnsi="黑体" w:eastAsia="黑体"/>
            </w:rPr>
            <w:tab/>
          </w:r>
          <w:r>
            <w:rPr>
              <w:rStyle w:val="16"/>
              <w:rFonts w:ascii="黑体" w:hAnsi="黑体" w:eastAsia="黑体"/>
            </w:rPr>
            <w:fldChar w:fldCharType="begin"/>
          </w:r>
          <w:r>
            <w:rPr>
              <w:rStyle w:val="16"/>
              <w:rFonts w:ascii="黑体" w:hAnsi="黑体" w:eastAsia="黑体"/>
            </w:rPr>
            <w:instrText xml:space="preserve"> PAGEREF _Toc32049 \h </w:instrText>
          </w:r>
          <w:r>
            <w:rPr>
              <w:rStyle w:val="16"/>
              <w:rFonts w:ascii="黑体" w:hAnsi="黑体" w:eastAsia="黑体"/>
            </w:rPr>
            <w:fldChar w:fldCharType="separate"/>
          </w:r>
          <w:r>
            <w:rPr>
              <w:rStyle w:val="16"/>
              <w:rFonts w:ascii="黑体" w:hAnsi="黑体" w:eastAsia="黑体"/>
            </w:rPr>
            <w:t>- 3 -</w:t>
          </w:r>
          <w:r>
            <w:rPr>
              <w:rStyle w:val="16"/>
              <w:rFonts w:ascii="黑体" w:hAnsi="黑体" w:eastAsia="黑体"/>
            </w:rPr>
            <w:fldChar w:fldCharType="end"/>
          </w:r>
          <w:r>
            <w:rPr>
              <w:rStyle w:val="16"/>
              <w:rFonts w:ascii="黑体" w:hAnsi="黑体" w:eastAsia="黑体"/>
            </w:rPr>
            <w:fldChar w:fldCharType="end"/>
          </w:r>
        </w:p>
        <w:p w14:paraId="21218ADF">
          <w:pPr>
            <w:pStyle w:val="10"/>
            <w:tabs>
              <w:tab w:val="right" w:leader="dot" w:pos="8306"/>
            </w:tabs>
            <w:spacing w:line="360" w:lineRule="auto"/>
          </w:pPr>
          <w:r>
            <w:fldChar w:fldCharType="begin"/>
          </w:r>
          <w:r>
            <w:instrText xml:space="preserve"> HYPERLINK \l "_Toc22775" </w:instrText>
          </w:r>
          <w:r>
            <w:fldChar w:fldCharType="separate"/>
          </w:r>
          <w:r>
            <w:t>（一）标准编制原则</w:t>
          </w:r>
          <w:r>
            <w:tab/>
          </w:r>
          <w:r>
            <w:fldChar w:fldCharType="begin"/>
          </w:r>
          <w:r>
            <w:instrText xml:space="preserve"> PAGEREF _Toc22775 \h </w:instrText>
          </w:r>
          <w:r>
            <w:fldChar w:fldCharType="separate"/>
          </w:r>
          <w:r>
            <w:t>- 3 -</w:t>
          </w:r>
          <w:r>
            <w:fldChar w:fldCharType="end"/>
          </w:r>
          <w:r>
            <w:fldChar w:fldCharType="end"/>
          </w:r>
        </w:p>
        <w:p w14:paraId="1ED93EB1">
          <w:pPr>
            <w:pStyle w:val="10"/>
            <w:tabs>
              <w:tab w:val="right" w:leader="dot" w:pos="8306"/>
            </w:tabs>
            <w:spacing w:line="360" w:lineRule="auto"/>
          </w:pPr>
          <w:r>
            <w:fldChar w:fldCharType="begin"/>
          </w:r>
          <w:r>
            <w:instrText xml:space="preserve"> HYPERLINK \l "_Toc20980" </w:instrText>
          </w:r>
          <w:r>
            <w:fldChar w:fldCharType="separate"/>
          </w:r>
          <w:r>
            <w:rPr>
              <w:rFonts w:hint="eastAsia"/>
            </w:rPr>
            <w:t>（二）</w:t>
          </w:r>
          <w:r>
            <w:t>确定主要标准内容</w:t>
          </w:r>
          <w:r>
            <w:rPr>
              <w:rFonts w:hint="eastAsia"/>
            </w:rPr>
            <w:t>及</w:t>
          </w:r>
          <w:r>
            <w:t>论据</w:t>
          </w:r>
          <w:r>
            <w:tab/>
          </w:r>
          <w:r>
            <w:fldChar w:fldCharType="begin"/>
          </w:r>
          <w:r>
            <w:instrText xml:space="preserve"> PAGEREF _Toc20980 \h </w:instrText>
          </w:r>
          <w:r>
            <w:fldChar w:fldCharType="separate"/>
          </w:r>
          <w:r>
            <w:t>- 3 -</w:t>
          </w:r>
          <w:r>
            <w:fldChar w:fldCharType="end"/>
          </w:r>
          <w:r>
            <w:fldChar w:fldCharType="end"/>
          </w:r>
        </w:p>
        <w:p w14:paraId="0F46D030">
          <w:pPr>
            <w:pStyle w:val="9"/>
            <w:tabs>
              <w:tab w:val="right" w:leader="dot" w:pos="8306"/>
            </w:tabs>
            <w:spacing w:line="360" w:lineRule="auto"/>
          </w:pPr>
          <w:r>
            <w:fldChar w:fldCharType="begin"/>
          </w:r>
          <w:r>
            <w:instrText xml:space="preserve"> HYPERLINK \l "_Toc11902" </w:instrText>
          </w:r>
          <w:r>
            <w:fldChar w:fldCharType="separate"/>
          </w:r>
          <w:r>
            <w:rPr>
              <w:rStyle w:val="16"/>
              <w:rFonts w:hint="eastAsia" w:ascii="黑体" w:hAnsi="黑体" w:eastAsia="黑体"/>
            </w:rPr>
            <w:t>三</w:t>
          </w:r>
          <w:r>
            <w:rPr>
              <w:rStyle w:val="16"/>
              <w:rFonts w:ascii="黑体" w:hAnsi="黑体" w:eastAsia="黑体"/>
            </w:rPr>
            <w:t>、主要试验（或验证）</w:t>
          </w:r>
          <w:r>
            <w:rPr>
              <w:rStyle w:val="16"/>
              <w:rFonts w:hint="eastAsia" w:ascii="黑体" w:hAnsi="黑体" w:eastAsia="黑体"/>
            </w:rPr>
            <w:t>的</w:t>
          </w:r>
          <w:r>
            <w:rPr>
              <w:rStyle w:val="16"/>
              <w:rFonts w:ascii="黑体" w:hAnsi="黑体" w:eastAsia="黑体"/>
            </w:rPr>
            <w:t>分析、综述</w:t>
          </w:r>
          <w:r>
            <w:rPr>
              <w:rStyle w:val="16"/>
              <w:rFonts w:hint="eastAsia" w:ascii="黑体" w:hAnsi="黑体" w:eastAsia="黑体"/>
            </w:rPr>
            <w:t>报告</w:t>
          </w:r>
          <w:r>
            <w:rPr>
              <w:rStyle w:val="16"/>
              <w:rFonts w:ascii="黑体" w:hAnsi="黑体" w:eastAsia="黑体"/>
            </w:rPr>
            <w:t>、技术经济论证，预期的经济效果</w:t>
          </w:r>
          <w:r>
            <w:rPr>
              <w:rStyle w:val="16"/>
              <w:rFonts w:ascii="黑体" w:hAnsi="黑体" w:eastAsia="黑体"/>
            </w:rPr>
            <w:tab/>
          </w:r>
          <w:r>
            <w:rPr>
              <w:rStyle w:val="16"/>
              <w:rFonts w:ascii="黑体" w:hAnsi="黑体" w:eastAsia="黑体"/>
            </w:rPr>
            <w:fldChar w:fldCharType="begin"/>
          </w:r>
          <w:r>
            <w:rPr>
              <w:rStyle w:val="16"/>
              <w:rFonts w:ascii="黑体" w:hAnsi="黑体" w:eastAsia="黑体"/>
            </w:rPr>
            <w:instrText xml:space="preserve"> PAGEREF _Toc11902 \h </w:instrText>
          </w:r>
          <w:r>
            <w:rPr>
              <w:rStyle w:val="16"/>
              <w:rFonts w:ascii="黑体" w:hAnsi="黑体" w:eastAsia="黑体"/>
            </w:rPr>
            <w:fldChar w:fldCharType="separate"/>
          </w:r>
          <w:r>
            <w:rPr>
              <w:rStyle w:val="16"/>
              <w:rFonts w:ascii="黑体" w:hAnsi="黑体" w:eastAsia="黑体"/>
            </w:rPr>
            <w:t>- 11 -</w:t>
          </w:r>
          <w:r>
            <w:rPr>
              <w:rStyle w:val="16"/>
              <w:rFonts w:ascii="黑体" w:hAnsi="黑体" w:eastAsia="黑体"/>
            </w:rPr>
            <w:fldChar w:fldCharType="end"/>
          </w:r>
          <w:r>
            <w:rPr>
              <w:rStyle w:val="16"/>
              <w:rFonts w:ascii="黑体" w:hAnsi="黑体" w:eastAsia="黑体"/>
            </w:rPr>
            <w:fldChar w:fldCharType="end"/>
          </w:r>
        </w:p>
        <w:p w14:paraId="2AAD8AA5">
          <w:pPr>
            <w:pStyle w:val="10"/>
            <w:tabs>
              <w:tab w:val="right" w:leader="dot" w:pos="8306"/>
            </w:tabs>
            <w:spacing w:line="360" w:lineRule="auto"/>
          </w:pPr>
          <w:r>
            <w:fldChar w:fldCharType="begin"/>
          </w:r>
          <w:r>
            <w:instrText xml:space="preserve"> HYPERLINK \l "_Toc15634" </w:instrText>
          </w:r>
          <w:r>
            <w:fldChar w:fldCharType="separate"/>
          </w:r>
          <w:r>
            <w:t>（一）主要试验（或验证）</w:t>
          </w:r>
          <w:r>
            <w:rPr>
              <w:rFonts w:hint="eastAsia"/>
            </w:rPr>
            <w:t>的</w:t>
          </w:r>
          <w:r>
            <w:t>分析、综述</w:t>
          </w:r>
          <w:r>
            <w:rPr>
              <w:rFonts w:hint="eastAsia"/>
            </w:rPr>
            <w:t>报告</w:t>
          </w:r>
          <w:r>
            <w:t>、技术经济论证</w:t>
          </w:r>
          <w:r>
            <w:tab/>
          </w:r>
          <w:r>
            <w:fldChar w:fldCharType="begin"/>
          </w:r>
          <w:r>
            <w:instrText xml:space="preserve"> PAGEREF _Toc15634 \h </w:instrText>
          </w:r>
          <w:r>
            <w:fldChar w:fldCharType="separate"/>
          </w:r>
          <w:r>
            <w:t>- 11 -</w:t>
          </w:r>
          <w:r>
            <w:fldChar w:fldCharType="end"/>
          </w:r>
          <w:r>
            <w:fldChar w:fldCharType="end"/>
          </w:r>
        </w:p>
        <w:p w14:paraId="5EACA12C">
          <w:pPr>
            <w:pStyle w:val="10"/>
            <w:tabs>
              <w:tab w:val="right" w:leader="dot" w:pos="8306"/>
            </w:tabs>
            <w:spacing w:line="360" w:lineRule="auto"/>
          </w:pPr>
          <w:r>
            <w:fldChar w:fldCharType="begin"/>
          </w:r>
          <w:r>
            <w:instrText xml:space="preserve"> HYPERLINK \l "_Toc29870" </w:instrText>
          </w:r>
          <w:r>
            <w:fldChar w:fldCharType="separate"/>
          </w:r>
          <w:r>
            <w:t>（二）预期的经济效果</w:t>
          </w:r>
          <w:r>
            <w:tab/>
          </w:r>
          <w:r>
            <w:fldChar w:fldCharType="begin"/>
          </w:r>
          <w:r>
            <w:instrText xml:space="preserve"> PAGEREF _Toc29870 \h </w:instrText>
          </w:r>
          <w:r>
            <w:fldChar w:fldCharType="separate"/>
          </w:r>
          <w:r>
            <w:t>- 11 -</w:t>
          </w:r>
          <w:r>
            <w:fldChar w:fldCharType="end"/>
          </w:r>
          <w:r>
            <w:fldChar w:fldCharType="end"/>
          </w:r>
        </w:p>
        <w:p w14:paraId="1FB00EE5">
          <w:pPr>
            <w:pStyle w:val="9"/>
            <w:tabs>
              <w:tab w:val="right" w:leader="dot" w:pos="8306"/>
            </w:tabs>
            <w:spacing w:line="360" w:lineRule="auto"/>
            <w:rPr>
              <w:rStyle w:val="16"/>
              <w:rFonts w:ascii="黑体" w:hAnsi="黑体" w:eastAsia="黑体"/>
            </w:rPr>
          </w:pPr>
          <w:r>
            <w:fldChar w:fldCharType="begin"/>
          </w:r>
          <w:r>
            <w:instrText xml:space="preserve"> HYPERLINK \l "_Toc29703" </w:instrText>
          </w:r>
          <w:r>
            <w:fldChar w:fldCharType="separate"/>
          </w:r>
          <w:r>
            <w:rPr>
              <w:rStyle w:val="16"/>
              <w:rFonts w:hint="eastAsia" w:ascii="黑体" w:hAnsi="黑体" w:eastAsia="黑体"/>
            </w:rPr>
            <w:t>四、采用国际标准和国外先进标准的程度，以及与国际、国外同类标准水平的对比情况，或与测试的国外样品、样机的有关数据对比情况</w:t>
          </w:r>
          <w:r>
            <w:rPr>
              <w:rStyle w:val="16"/>
              <w:rFonts w:ascii="黑体" w:hAnsi="黑体" w:eastAsia="黑体"/>
            </w:rPr>
            <w:tab/>
          </w:r>
          <w:r>
            <w:rPr>
              <w:rStyle w:val="16"/>
              <w:rFonts w:ascii="黑体" w:hAnsi="黑体" w:eastAsia="黑体"/>
            </w:rPr>
            <w:fldChar w:fldCharType="begin"/>
          </w:r>
          <w:r>
            <w:rPr>
              <w:rStyle w:val="16"/>
              <w:rFonts w:ascii="黑体" w:hAnsi="黑体" w:eastAsia="黑体"/>
            </w:rPr>
            <w:instrText xml:space="preserve"> PAGEREF _Toc29703 \h </w:instrText>
          </w:r>
          <w:r>
            <w:rPr>
              <w:rStyle w:val="16"/>
              <w:rFonts w:ascii="黑体" w:hAnsi="黑体" w:eastAsia="黑体"/>
            </w:rPr>
            <w:fldChar w:fldCharType="separate"/>
          </w:r>
          <w:r>
            <w:rPr>
              <w:rStyle w:val="16"/>
              <w:rFonts w:ascii="黑体" w:hAnsi="黑体" w:eastAsia="黑体"/>
            </w:rPr>
            <w:t>- 11 -</w:t>
          </w:r>
          <w:r>
            <w:rPr>
              <w:rStyle w:val="16"/>
              <w:rFonts w:ascii="黑体" w:hAnsi="黑体" w:eastAsia="黑体"/>
            </w:rPr>
            <w:fldChar w:fldCharType="end"/>
          </w:r>
          <w:r>
            <w:rPr>
              <w:rStyle w:val="16"/>
              <w:rFonts w:ascii="黑体" w:hAnsi="黑体" w:eastAsia="黑体"/>
            </w:rPr>
            <w:fldChar w:fldCharType="end"/>
          </w:r>
        </w:p>
        <w:p w14:paraId="40382EF9">
          <w:pPr>
            <w:pStyle w:val="9"/>
            <w:tabs>
              <w:tab w:val="right" w:leader="dot" w:pos="8306"/>
            </w:tabs>
            <w:spacing w:line="360" w:lineRule="auto"/>
            <w:rPr>
              <w:rStyle w:val="16"/>
              <w:rFonts w:ascii="黑体" w:hAnsi="黑体" w:eastAsia="黑体"/>
            </w:rPr>
          </w:pPr>
          <w:r>
            <w:fldChar w:fldCharType="begin"/>
          </w:r>
          <w:r>
            <w:instrText xml:space="preserve"> HYPERLINK \l "_Toc21221" </w:instrText>
          </w:r>
          <w:r>
            <w:fldChar w:fldCharType="separate"/>
          </w:r>
          <w:r>
            <w:rPr>
              <w:rStyle w:val="16"/>
              <w:rFonts w:ascii="黑体" w:hAnsi="黑体" w:eastAsia="黑体"/>
            </w:rPr>
            <w:t>五、与有关的现行法律、法规</w:t>
          </w:r>
          <w:r>
            <w:rPr>
              <w:rStyle w:val="16"/>
              <w:rFonts w:hint="eastAsia" w:ascii="黑体" w:hAnsi="黑体" w:eastAsia="黑体"/>
            </w:rPr>
            <w:t>、强制性标准</w:t>
          </w:r>
          <w:r>
            <w:rPr>
              <w:rStyle w:val="16"/>
              <w:rFonts w:ascii="黑体" w:hAnsi="黑体" w:eastAsia="黑体"/>
            </w:rPr>
            <w:t>的关系</w:t>
          </w:r>
          <w:r>
            <w:rPr>
              <w:rStyle w:val="16"/>
              <w:rFonts w:ascii="黑体" w:hAnsi="黑体" w:eastAsia="黑体"/>
            </w:rPr>
            <w:tab/>
          </w:r>
          <w:r>
            <w:rPr>
              <w:rStyle w:val="16"/>
              <w:rFonts w:ascii="黑体" w:hAnsi="黑体" w:eastAsia="黑体"/>
            </w:rPr>
            <w:fldChar w:fldCharType="begin"/>
          </w:r>
          <w:r>
            <w:rPr>
              <w:rStyle w:val="16"/>
              <w:rFonts w:ascii="黑体" w:hAnsi="黑体" w:eastAsia="黑体"/>
            </w:rPr>
            <w:instrText xml:space="preserve"> PAGEREF _Toc21221 \h </w:instrText>
          </w:r>
          <w:r>
            <w:rPr>
              <w:rStyle w:val="16"/>
              <w:rFonts w:ascii="黑体" w:hAnsi="黑体" w:eastAsia="黑体"/>
            </w:rPr>
            <w:fldChar w:fldCharType="separate"/>
          </w:r>
          <w:r>
            <w:rPr>
              <w:rStyle w:val="16"/>
              <w:rFonts w:ascii="黑体" w:hAnsi="黑体" w:eastAsia="黑体"/>
            </w:rPr>
            <w:t>- 11 -</w:t>
          </w:r>
          <w:r>
            <w:rPr>
              <w:rStyle w:val="16"/>
              <w:rFonts w:ascii="黑体" w:hAnsi="黑体" w:eastAsia="黑体"/>
            </w:rPr>
            <w:fldChar w:fldCharType="end"/>
          </w:r>
          <w:r>
            <w:rPr>
              <w:rStyle w:val="16"/>
              <w:rFonts w:ascii="黑体" w:hAnsi="黑体" w:eastAsia="黑体"/>
            </w:rPr>
            <w:fldChar w:fldCharType="end"/>
          </w:r>
        </w:p>
        <w:p w14:paraId="466EE0BF">
          <w:pPr>
            <w:pStyle w:val="9"/>
            <w:tabs>
              <w:tab w:val="right" w:leader="dot" w:pos="8306"/>
            </w:tabs>
            <w:spacing w:line="360" w:lineRule="auto"/>
            <w:rPr>
              <w:rStyle w:val="16"/>
              <w:rFonts w:ascii="黑体" w:hAnsi="黑体" w:eastAsia="黑体"/>
            </w:rPr>
          </w:pPr>
          <w:r>
            <w:fldChar w:fldCharType="begin"/>
          </w:r>
          <w:r>
            <w:instrText xml:space="preserve"> HYPERLINK \l "_Toc28993" </w:instrText>
          </w:r>
          <w:r>
            <w:fldChar w:fldCharType="separate"/>
          </w:r>
          <w:r>
            <w:rPr>
              <w:rStyle w:val="16"/>
              <w:rFonts w:ascii="黑体" w:hAnsi="黑体" w:eastAsia="黑体"/>
            </w:rPr>
            <w:t>六、重大分歧意见的处理经过和依据</w:t>
          </w:r>
          <w:r>
            <w:rPr>
              <w:rStyle w:val="16"/>
              <w:rFonts w:ascii="黑体" w:hAnsi="黑体" w:eastAsia="黑体"/>
            </w:rPr>
            <w:tab/>
          </w:r>
          <w:r>
            <w:rPr>
              <w:rStyle w:val="16"/>
              <w:rFonts w:ascii="黑体" w:hAnsi="黑体" w:eastAsia="黑体"/>
            </w:rPr>
            <w:fldChar w:fldCharType="begin"/>
          </w:r>
          <w:r>
            <w:rPr>
              <w:rStyle w:val="16"/>
              <w:rFonts w:ascii="黑体" w:hAnsi="黑体" w:eastAsia="黑体"/>
            </w:rPr>
            <w:instrText xml:space="preserve"> PAGEREF _Toc28993 \h </w:instrText>
          </w:r>
          <w:r>
            <w:rPr>
              <w:rStyle w:val="16"/>
              <w:rFonts w:ascii="黑体" w:hAnsi="黑体" w:eastAsia="黑体"/>
            </w:rPr>
            <w:fldChar w:fldCharType="separate"/>
          </w:r>
          <w:r>
            <w:rPr>
              <w:rStyle w:val="16"/>
              <w:rFonts w:ascii="黑体" w:hAnsi="黑体" w:eastAsia="黑体"/>
            </w:rPr>
            <w:t>- 12 -</w:t>
          </w:r>
          <w:r>
            <w:rPr>
              <w:rStyle w:val="16"/>
              <w:rFonts w:ascii="黑体" w:hAnsi="黑体" w:eastAsia="黑体"/>
            </w:rPr>
            <w:fldChar w:fldCharType="end"/>
          </w:r>
          <w:r>
            <w:rPr>
              <w:rStyle w:val="16"/>
              <w:rFonts w:ascii="黑体" w:hAnsi="黑体" w:eastAsia="黑体"/>
            </w:rPr>
            <w:fldChar w:fldCharType="end"/>
          </w:r>
        </w:p>
        <w:p w14:paraId="26B0D482">
          <w:pPr>
            <w:pStyle w:val="9"/>
            <w:tabs>
              <w:tab w:val="right" w:leader="dot" w:pos="8306"/>
            </w:tabs>
            <w:spacing w:line="360" w:lineRule="auto"/>
            <w:rPr>
              <w:rStyle w:val="16"/>
              <w:rFonts w:ascii="黑体" w:hAnsi="黑体" w:eastAsia="黑体"/>
            </w:rPr>
          </w:pPr>
          <w:r>
            <w:fldChar w:fldCharType="begin"/>
          </w:r>
          <w:r>
            <w:instrText xml:space="preserve"> HYPERLINK \l "_Toc12346" </w:instrText>
          </w:r>
          <w:r>
            <w:fldChar w:fldCharType="separate"/>
          </w:r>
          <w:r>
            <w:rPr>
              <w:rStyle w:val="16"/>
              <w:rFonts w:hint="eastAsia" w:ascii="黑体" w:hAnsi="黑体" w:eastAsia="黑体"/>
            </w:rPr>
            <w:t>七</w:t>
          </w:r>
          <w:r>
            <w:rPr>
              <w:rStyle w:val="16"/>
              <w:rFonts w:ascii="黑体" w:hAnsi="黑体" w:eastAsia="黑体"/>
            </w:rPr>
            <w:t>、标准作为强制性</w:t>
          </w:r>
          <w:r>
            <w:rPr>
              <w:rStyle w:val="16"/>
              <w:rFonts w:hint="eastAsia" w:ascii="黑体" w:hAnsi="黑体" w:eastAsia="黑体"/>
            </w:rPr>
            <w:t>行业</w:t>
          </w:r>
          <w:r>
            <w:rPr>
              <w:rStyle w:val="16"/>
              <w:rFonts w:ascii="黑体" w:hAnsi="黑体" w:eastAsia="黑体"/>
            </w:rPr>
            <w:t>标准</w:t>
          </w:r>
          <w:r>
            <w:rPr>
              <w:rStyle w:val="16"/>
              <w:rFonts w:hint="eastAsia" w:ascii="黑体" w:hAnsi="黑体" w:eastAsia="黑体"/>
            </w:rPr>
            <w:t>或</w:t>
          </w:r>
          <w:r>
            <w:rPr>
              <w:rStyle w:val="16"/>
              <w:rFonts w:ascii="黑体" w:hAnsi="黑体" w:eastAsia="黑体"/>
            </w:rPr>
            <w:t>推荐性</w:t>
          </w:r>
          <w:r>
            <w:rPr>
              <w:rStyle w:val="16"/>
              <w:rFonts w:hint="eastAsia" w:ascii="黑体" w:hAnsi="黑体" w:eastAsia="黑体"/>
            </w:rPr>
            <w:t>行业</w:t>
          </w:r>
          <w:r>
            <w:rPr>
              <w:rStyle w:val="16"/>
              <w:rFonts w:ascii="黑体" w:hAnsi="黑体" w:eastAsia="黑体"/>
            </w:rPr>
            <w:t>标准的建议</w:t>
          </w:r>
          <w:r>
            <w:rPr>
              <w:rStyle w:val="16"/>
              <w:rFonts w:ascii="黑体" w:hAnsi="黑体" w:eastAsia="黑体"/>
            </w:rPr>
            <w:tab/>
          </w:r>
          <w:r>
            <w:rPr>
              <w:rStyle w:val="16"/>
              <w:rFonts w:ascii="黑体" w:hAnsi="黑体" w:eastAsia="黑体"/>
            </w:rPr>
            <w:fldChar w:fldCharType="begin"/>
          </w:r>
          <w:r>
            <w:rPr>
              <w:rStyle w:val="16"/>
              <w:rFonts w:ascii="黑体" w:hAnsi="黑体" w:eastAsia="黑体"/>
            </w:rPr>
            <w:instrText xml:space="preserve"> PAGEREF _Toc12346 \h </w:instrText>
          </w:r>
          <w:r>
            <w:rPr>
              <w:rStyle w:val="16"/>
              <w:rFonts w:ascii="黑体" w:hAnsi="黑体" w:eastAsia="黑体"/>
            </w:rPr>
            <w:fldChar w:fldCharType="separate"/>
          </w:r>
          <w:r>
            <w:rPr>
              <w:rStyle w:val="16"/>
              <w:rFonts w:ascii="黑体" w:hAnsi="黑体" w:eastAsia="黑体"/>
            </w:rPr>
            <w:t>- 12 -</w:t>
          </w:r>
          <w:r>
            <w:rPr>
              <w:rStyle w:val="16"/>
              <w:rFonts w:ascii="黑体" w:hAnsi="黑体" w:eastAsia="黑体"/>
            </w:rPr>
            <w:fldChar w:fldCharType="end"/>
          </w:r>
          <w:r>
            <w:rPr>
              <w:rStyle w:val="16"/>
              <w:rFonts w:ascii="黑体" w:hAnsi="黑体" w:eastAsia="黑体"/>
            </w:rPr>
            <w:fldChar w:fldCharType="end"/>
          </w:r>
        </w:p>
        <w:p w14:paraId="68D53FE3">
          <w:pPr>
            <w:pStyle w:val="9"/>
            <w:tabs>
              <w:tab w:val="right" w:leader="dot" w:pos="8306"/>
            </w:tabs>
            <w:spacing w:line="360" w:lineRule="auto"/>
            <w:rPr>
              <w:rStyle w:val="16"/>
              <w:rFonts w:ascii="黑体" w:hAnsi="黑体" w:eastAsia="黑体"/>
            </w:rPr>
          </w:pPr>
          <w:r>
            <w:fldChar w:fldCharType="begin"/>
          </w:r>
          <w:r>
            <w:instrText xml:space="preserve"> HYPERLINK \l "_Toc1108" </w:instrText>
          </w:r>
          <w:r>
            <w:fldChar w:fldCharType="separate"/>
          </w:r>
          <w:r>
            <w:rPr>
              <w:rStyle w:val="16"/>
              <w:rFonts w:hint="eastAsia" w:ascii="黑体" w:hAnsi="黑体" w:eastAsia="黑体"/>
            </w:rPr>
            <w:t>八</w:t>
          </w:r>
          <w:r>
            <w:rPr>
              <w:rStyle w:val="16"/>
              <w:rFonts w:ascii="黑体" w:hAnsi="黑体" w:eastAsia="黑体"/>
            </w:rPr>
            <w:t>、贯彻该标准的要求和措施建议</w:t>
          </w:r>
          <w:r>
            <w:rPr>
              <w:rStyle w:val="16"/>
              <w:rFonts w:ascii="黑体" w:hAnsi="黑体" w:eastAsia="黑体"/>
            </w:rPr>
            <w:tab/>
          </w:r>
          <w:r>
            <w:rPr>
              <w:rStyle w:val="16"/>
              <w:rFonts w:ascii="黑体" w:hAnsi="黑体" w:eastAsia="黑体"/>
            </w:rPr>
            <w:fldChar w:fldCharType="begin"/>
          </w:r>
          <w:r>
            <w:rPr>
              <w:rStyle w:val="16"/>
              <w:rFonts w:ascii="黑体" w:hAnsi="黑体" w:eastAsia="黑体"/>
            </w:rPr>
            <w:instrText xml:space="preserve"> PAGEREF _Toc1108 \h </w:instrText>
          </w:r>
          <w:r>
            <w:rPr>
              <w:rStyle w:val="16"/>
              <w:rFonts w:ascii="黑体" w:hAnsi="黑体" w:eastAsia="黑体"/>
            </w:rPr>
            <w:fldChar w:fldCharType="separate"/>
          </w:r>
          <w:r>
            <w:rPr>
              <w:rStyle w:val="16"/>
              <w:rFonts w:ascii="黑体" w:hAnsi="黑体" w:eastAsia="黑体"/>
            </w:rPr>
            <w:t>- 12 -</w:t>
          </w:r>
          <w:r>
            <w:rPr>
              <w:rStyle w:val="16"/>
              <w:rFonts w:ascii="黑体" w:hAnsi="黑体" w:eastAsia="黑体"/>
            </w:rPr>
            <w:fldChar w:fldCharType="end"/>
          </w:r>
          <w:r>
            <w:rPr>
              <w:rStyle w:val="16"/>
              <w:rFonts w:ascii="黑体" w:hAnsi="黑体" w:eastAsia="黑体"/>
            </w:rPr>
            <w:fldChar w:fldCharType="end"/>
          </w:r>
        </w:p>
        <w:p w14:paraId="5800DE4D">
          <w:pPr>
            <w:pStyle w:val="9"/>
            <w:tabs>
              <w:tab w:val="right" w:leader="dot" w:pos="8306"/>
            </w:tabs>
            <w:spacing w:line="360" w:lineRule="auto"/>
            <w:rPr>
              <w:rStyle w:val="16"/>
              <w:rFonts w:ascii="黑体" w:hAnsi="黑体" w:eastAsia="黑体"/>
            </w:rPr>
          </w:pPr>
          <w:r>
            <w:fldChar w:fldCharType="begin"/>
          </w:r>
          <w:r>
            <w:instrText xml:space="preserve"> HYPERLINK \l "_Toc30565" </w:instrText>
          </w:r>
          <w:r>
            <w:fldChar w:fldCharType="separate"/>
          </w:r>
          <w:r>
            <w:rPr>
              <w:rStyle w:val="16"/>
              <w:rFonts w:ascii="黑体" w:hAnsi="黑体" w:eastAsia="黑体"/>
            </w:rPr>
            <w:t>九、废止现行有关标准的建议</w:t>
          </w:r>
          <w:r>
            <w:rPr>
              <w:rStyle w:val="16"/>
              <w:rFonts w:ascii="黑体" w:hAnsi="黑体" w:eastAsia="黑体"/>
            </w:rPr>
            <w:tab/>
          </w:r>
          <w:r>
            <w:rPr>
              <w:rStyle w:val="16"/>
              <w:rFonts w:ascii="黑体" w:hAnsi="黑体" w:eastAsia="黑体"/>
            </w:rPr>
            <w:fldChar w:fldCharType="begin"/>
          </w:r>
          <w:r>
            <w:rPr>
              <w:rStyle w:val="16"/>
              <w:rFonts w:ascii="黑体" w:hAnsi="黑体" w:eastAsia="黑体"/>
            </w:rPr>
            <w:instrText xml:space="preserve"> PAGEREF _Toc30565 \h </w:instrText>
          </w:r>
          <w:r>
            <w:rPr>
              <w:rStyle w:val="16"/>
              <w:rFonts w:ascii="黑体" w:hAnsi="黑体" w:eastAsia="黑体"/>
            </w:rPr>
            <w:fldChar w:fldCharType="separate"/>
          </w:r>
          <w:r>
            <w:rPr>
              <w:rStyle w:val="16"/>
              <w:rFonts w:ascii="黑体" w:hAnsi="黑体" w:eastAsia="黑体"/>
            </w:rPr>
            <w:t>- 12 -</w:t>
          </w:r>
          <w:r>
            <w:rPr>
              <w:rStyle w:val="16"/>
              <w:rFonts w:ascii="黑体" w:hAnsi="黑体" w:eastAsia="黑体"/>
            </w:rPr>
            <w:fldChar w:fldCharType="end"/>
          </w:r>
          <w:r>
            <w:rPr>
              <w:rStyle w:val="16"/>
              <w:rFonts w:ascii="黑体" w:hAnsi="黑体" w:eastAsia="黑体"/>
            </w:rPr>
            <w:fldChar w:fldCharType="end"/>
          </w:r>
        </w:p>
        <w:p w14:paraId="345D0CF6">
          <w:pPr>
            <w:pStyle w:val="9"/>
            <w:tabs>
              <w:tab w:val="right" w:leader="dot" w:pos="8306"/>
            </w:tabs>
            <w:spacing w:line="360" w:lineRule="auto"/>
          </w:pPr>
          <w:r>
            <w:fldChar w:fldCharType="begin"/>
          </w:r>
          <w:r>
            <w:instrText xml:space="preserve"> HYPERLINK \l "_Toc10437" </w:instrText>
          </w:r>
          <w:r>
            <w:fldChar w:fldCharType="separate"/>
          </w:r>
          <w:r>
            <w:rPr>
              <w:rStyle w:val="16"/>
              <w:rFonts w:ascii="黑体" w:hAnsi="黑体" w:eastAsia="黑体"/>
            </w:rPr>
            <w:t>十、其他应予说明的事项</w:t>
          </w:r>
          <w:r>
            <w:rPr>
              <w:rStyle w:val="16"/>
              <w:rFonts w:ascii="黑体" w:hAnsi="黑体" w:eastAsia="黑体"/>
            </w:rPr>
            <w:tab/>
          </w:r>
          <w:r>
            <w:rPr>
              <w:rStyle w:val="16"/>
              <w:rFonts w:ascii="黑体" w:hAnsi="黑体" w:eastAsia="黑体"/>
            </w:rPr>
            <w:fldChar w:fldCharType="begin"/>
          </w:r>
          <w:r>
            <w:rPr>
              <w:rStyle w:val="16"/>
              <w:rFonts w:ascii="黑体" w:hAnsi="黑体" w:eastAsia="黑体"/>
            </w:rPr>
            <w:instrText xml:space="preserve"> PAGEREF _Toc10437 \h </w:instrText>
          </w:r>
          <w:r>
            <w:rPr>
              <w:rStyle w:val="16"/>
              <w:rFonts w:ascii="黑体" w:hAnsi="黑体" w:eastAsia="黑体"/>
            </w:rPr>
            <w:fldChar w:fldCharType="separate"/>
          </w:r>
          <w:r>
            <w:rPr>
              <w:rStyle w:val="16"/>
              <w:rFonts w:ascii="黑体" w:hAnsi="黑体" w:eastAsia="黑体"/>
            </w:rPr>
            <w:t>- 12 -</w:t>
          </w:r>
          <w:r>
            <w:rPr>
              <w:rStyle w:val="16"/>
              <w:rFonts w:ascii="黑体" w:hAnsi="黑体" w:eastAsia="黑体"/>
            </w:rPr>
            <w:fldChar w:fldCharType="end"/>
          </w:r>
          <w:r>
            <w:rPr>
              <w:rStyle w:val="16"/>
              <w:rFonts w:ascii="黑体" w:hAnsi="黑体" w:eastAsia="黑体"/>
            </w:rPr>
            <w:fldChar w:fldCharType="end"/>
          </w:r>
        </w:p>
        <w:p w14:paraId="70C6FCCD">
          <w:pPr>
            <w:spacing w:line="360" w:lineRule="auto"/>
          </w:pPr>
          <w:r>
            <w:fldChar w:fldCharType="end"/>
          </w:r>
        </w:p>
      </w:sdtContent>
    </w:sdt>
    <w:p w14:paraId="2F3AD78E">
      <w:pPr>
        <w:pStyle w:val="3"/>
        <w:pageBreakBefore/>
        <w:spacing w:line="360" w:lineRule="auto"/>
        <w:rPr>
          <w:rFonts w:ascii="Times New Roman" w:hAnsi="Times New Roman"/>
        </w:rPr>
        <w:sectPr>
          <w:headerReference r:id="rId3" w:type="default"/>
          <w:footerReference r:id="rId4" w:type="default"/>
          <w:type w:val="continuous"/>
          <w:pgSz w:w="11906" w:h="16838"/>
          <w:pgMar w:top="1440" w:right="1800" w:bottom="1440" w:left="1800" w:header="851" w:footer="992" w:gutter="0"/>
          <w:pgNumType w:fmt="numberInDash" w:start="1"/>
          <w:cols w:space="425" w:num="1"/>
          <w:docGrid w:type="lines" w:linePitch="312" w:charSpace="0"/>
        </w:sectPr>
      </w:pPr>
    </w:p>
    <w:p w14:paraId="6C9E1540">
      <w:pPr>
        <w:pStyle w:val="3"/>
        <w:pageBreakBefore/>
        <w:rPr>
          <w:rFonts w:ascii="Times New Roman" w:hAnsi="Times New Roman"/>
        </w:rPr>
      </w:pPr>
      <w:bookmarkStart w:id="12" w:name="_Toc13563"/>
      <w:r>
        <w:rPr>
          <w:rFonts w:ascii="Times New Roman" w:hAnsi="Times New Roman"/>
        </w:rPr>
        <w:t>一、</w:t>
      </w:r>
      <w:bookmarkEnd w:id="10"/>
      <w:r>
        <w:rPr>
          <w:rFonts w:hint="eastAsia" w:ascii="Times New Roman" w:hAnsi="Times New Roman"/>
        </w:rPr>
        <w:t>工作简况</w:t>
      </w:r>
      <w:bookmarkEnd w:id="11"/>
      <w:bookmarkEnd w:id="12"/>
    </w:p>
    <w:p w14:paraId="07A236E2">
      <w:pPr>
        <w:pStyle w:val="4"/>
      </w:pPr>
      <w:bookmarkStart w:id="13" w:name="_Toc6842"/>
      <w:bookmarkStart w:id="14" w:name="_Toc118217816"/>
      <w:bookmarkStart w:id="15" w:name="_Toc21638"/>
      <w:r>
        <w:t>（一）</w:t>
      </w:r>
      <w:bookmarkEnd w:id="13"/>
      <w:r>
        <w:rPr>
          <w:rFonts w:hint="eastAsia"/>
        </w:rPr>
        <w:t>任务来源</w:t>
      </w:r>
      <w:bookmarkEnd w:id="14"/>
      <w:bookmarkEnd w:id="15"/>
    </w:p>
    <w:p w14:paraId="75202EAD">
      <w:pPr>
        <w:tabs>
          <w:tab w:val="left" w:pos="468"/>
        </w:tabs>
        <w:spacing w:line="360" w:lineRule="auto"/>
        <w:ind w:firstLine="482" w:firstLineChars="200"/>
        <w:outlineLvl w:val="2"/>
        <w:rPr>
          <w:rFonts w:eastAsia="仿宋"/>
          <w:b/>
          <w:sz w:val="24"/>
        </w:rPr>
      </w:pPr>
      <w:r>
        <w:rPr>
          <w:rFonts w:hint="eastAsia" w:eastAsia="仿宋"/>
          <w:b/>
          <w:sz w:val="24"/>
        </w:rPr>
        <w:t>（1）背景与意义</w:t>
      </w:r>
    </w:p>
    <w:p w14:paraId="6EAB93FD">
      <w:pPr>
        <w:tabs>
          <w:tab w:val="left" w:pos="468"/>
        </w:tabs>
        <w:spacing w:line="360" w:lineRule="auto"/>
        <w:ind w:firstLine="480" w:firstLineChars="200"/>
        <w:rPr>
          <w:rFonts w:eastAsia="仿宋"/>
          <w:sz w:val="24"/>
        </w:rPr>
      </w:pPr>
      <w:r>
        <w:rPr>
          <w:rFonts w:hint="eastAsia" w:eastAsia="仿宋"/>
          <w:sz w:val="24"/>
        </w:rPr>
        <w:t xml:space="preserve">1984-2016年间，全球潮间带滩涂面积减少了16.02%(Murray et al., 2019)，其中围垦是造成滩涂丧失的主要原因(Ma et al., 2014; Mu </w:t>
      </w:r>
      <w:r>
        <w:rPr>
          <w:rFonts w:eastAsia="仿宋"/>
          <w:sz w:val="24"/>
        </w:rPr>
        <w:t>and</w:t>
      </w:r>
      <w:r>
        <w:rPr>
          <w:rFonts w:hint="eastAsia" w:eastAsia="仿宋"/>
          <w:sz w:val="24"/>
        </w:rPr>
        <w:t xml:space="preserve"> Wilcove, 2020)。不仅是觅食地面积的减少，还有高潮位停歇地的丧失。高潮位栖息地的主要作用是在潮水淹没泥滩时为水鸟提供休息地，也可以作为水鸟的觅食和繁殖地。滨海淤泥质滩涂面积的不断丧失威胁着滨海水鸟的生存(MacKinnon et al., 2012)。2018年7月，中国国务院印发《关于加强滨海湿地保护 严格管控围填海的通知》(国发〔2018〕24号)，开始全面禁止围填海，并在围垦区域开展了一系列的恢复工程(Wang et al., 2014; Duan et al., 2019)。以江苏南部沿海为例，在2019年7月中国黄(渤)海候鸟栖息地(第一期)申遗成功后开展了一系列的候鸟高潮位栖息地保护、恢复和管理活动，其中当地政府在离候鸟觅食区最近的围垦养殖区专门辟出720亩的区域，进行微地形改造、湿地修复、环境整治并实行封闭管理，打造了国内第一块固定高潮位候鸟栖息地，鸟类保护组织将其编号为MFC720。2021年9月27日，联合国《生物多样性公约》缔约方大会第十五次会议（CBDCOP15）非政府组织论坛上，发布了“生物多样性100+案例”，盐城“以恢复鸟类栖息地为目标的自然解决方案”入选全球特别推荐案例。“条子泥720”是该方案的重点。高潮位栖息地的建设、维护与管理是滨海水鸟保护和滨海淤泥质滩涂湿地生态系统管理的重要工作之一。</w:t>
      </w:r>
      <w:bookmarkStart w:id="16" w:name="OLE_LINK4"/>
      <w:r>
        <w:rPr>
          <w:rFonts w:hint="eastAsia" w:eastAsia="仿宋"/>
          <w:sz w:val="24"/>
        </w:rPr>
        <w:t>以“条子泥720”案例为参考，建立一套行之有效、具普适性的滨海淤泥质滩涂水鸟高潮位栖息地保护修复技术规程，科学指导和规范我国滨海淤泥质滩涂水鸟高潮位栖息地保护修复工作的开展，促进滨海湿地生态系统的整体保护和修复，促进其可持续发展，对推动我国滨海湿地生态文明建设具有重大的现实意义。</w:t>
      </w:r>
      <w:bookmarkEnd w:id="16"/>
    </w:p>
    <w:p w14:paraId="4759358A">
      <w:pPr>
        <w:numPr>
          <w:ilvl w:val="0"/>
          <w:numId w:val="2"/>
        </w:numPr>
        <w:tabs>
          <w:tab w:val="left" w:pos="468"/>
        </w:tabs>
        <w:spacing w:line="360" w:lineRule="auto"/>
        <w:ind w:firstLine="482" w:firstLineChars="200"/>
        <w:outlineLvl w:val="2"/>
        <w:rPr>
          <w:rFonts w:eastAsia="仿宋"/>
          <w:b/>
          <w:sz w:val="24"/>
        </w:rPr>
      </w:pPr>
      <w:bookmarkStart w:id="17" w:name="_Toc7694"/>
      <w:r>
        <w:rPr>
          <w:rFonts w:eastAsia="仿宋"/>
          <w:b/>
          <w:sz w:val="24"/>
        </w:rPr>
        <w:t>任务来源</w:t>
      </w:r>
      <w:bookmarkEnd w:id="17"/>
    </w:p>
    <w:p w14:paraId="4467C6E0">
      <w:pPr>
        <w:tabs>
          <w:tab w:val="left" w:pos="468"/>
        </w:tabs>
        <w:spacing w:line="360" w:lineRule="auto"/>
        <w:ind w:firstLine="480" w:firstLineChars="200"/>
        <w:rPr>
          <w:rFonts w:eastAsia="仿宋"/>
          <w:sz w:val="24"/>
        </w:rPr>
      </w:pPr>
      <w:r>
        <w:rPr>
          <w:rFonts w:hint="eastAsia" w:eastAsia="仿宋"/>
          <w:sz w:val="24"/>
        </w:rPr>
        <w:t>本文件由江苏省林业局归口。</w:t>
      </w:r>
    </w:p>
    <w:p w14:paraId="5C454DC0">
      <w:pPr>
        <w:pStyle w:val="4"/>
      </w:pPr>
      <w:bookmarkStart w:id="18" w:name="_Toc12561"/>
      <w:bookmarkStart w:id="19" w:name="_Toc118217817"/>
      <w:r>
        <w:t>（</w:t>
      </w:r>
      <w:r>
        <w:rPr>
          <w:rFonts w:hint="eastAsia"/>
        </w:rPr>
        <w:t>二</w:t>
      </w:r>
      <w:r>
        <w:t>）</w:t>
      </w:r>
      <w:r>
        <w:rPr>
          <w:rFonts w:hint="eastAsia"/>
        </w:rPr>
        <w:t>协作</w:t>
      </w:r>
      <w:r>
        <w:t>单位</w:t>
      </w:r>
      <w:bookmarkEnd w:id="18"/>
      <w:bookmarkEnd w:id="19"/>
    </w:p>
    <w:p w14:paraId="69C49870">
      <w:pPr>
        <w:tabs>
          <w:tab w:val="left" w:pos="468"/>
        </w:tabs>
        <w:spacing w:line="360" w:lineRule="auto"/>
        <w:ind w:firstLine="480" w:firstLineChars="200"/>
        <w:rPr>
          <w:rFonts w:eastAsia="仿宋"/>
          <w:sz w:val="24"/>
        </w:rPr>
      </w:pPr>
      <w:r>
        <w:rPr>
          <w:rFonts w:eastAsia="仿宋"/>
          <w:sz w:val="24"/>
        </w:rPr>
        <w:t>标准起草单位</w:t>
      </w:r>
      <w:r>
        <w:rPr>
          <w:rFonts w:hint="eastAsia" w:eastAsia="仿宋"/>
          <w:sz w:val="24"/>
        </w:rPr>
        <w:t>：东台沿海湿地旅游度假经济区条子泥湿地服务中心、北京林业大学、江苏省湿地保护站、深圳市红树林湿地保护基金会、东台市野生动物与湿地保护站、东台市市场监督管理局、南京林业大学。</w:t>
      </w:r>
    </w:p>
    <w:p w14:paraId="3618EAC9">
      <w:pPr>
        <w:pStyle w:val="4"/>
      </w:pPr>
      <w:bookmarkStart w:id="20" w:name="_Toc11294"/>
      <w:bookmarkStart w:id="21" w:name="_Toc118217818"/>
      <w:bookmarkStart w:id="22" w:name="_Toc17975"/>
      <w:r>
        <w:t>（</w:t>
      </w:r>
      <w:r>
        <w:rPr>
          <w:rFonts w:hint="eastAsia"/>
        </w:rPr>
        <w:t>三</w:t>
      </w:r>
      <w:r>
        <w:t>）主要工作过程</w:t>
      </w:r>
      <w:bookmarkEnd w:id="20"/>
      <w:bookmarkEnd w:id="21"/>
      <w:bookmarkEnd w:id="22"/>
    </w:p>
    <w:p w14:paraId="74F402A6">
      <w:pPr>
        <w:tabs>
          <w:tab w:val="left" w:pos="468"/>
        </w:tabs>
        <w:spacing w:line="360" w:lineRule="auto"/>
        <w:ind w:firstLine="482" w:firstLineChars="200"/>
        <w:rPr>
          <w:rFonts w:hint="eastAsia" w:eastAsia="仿宋"/>
          <w:sz w:val="24"/>
        </w:rPr>
      </w:pPr>
      <w:r>
        <w:rPr>
          <w:rFonts w:hint="eastAsia" w:eastAsia="仿宋"/>
          <w:b/>
          <w:bCs/>
          <w:sz w:val="24"/>
        </w:rPr>
        <w:t>1、</w:t>
      </w:r>
      <w:r>
        <w:rPr>
          <w:rFonts w:hint="eastAsia" w:eastAsia="仿宋"/>
          <w:b/>
          <w:bCs/>
          <w:sz w:val="24"/>
          <w:lang w:val="en-US" w:eastAsia="zh-CN"/>
        </w:rPr>
        <w:t>调研</w:t>
      </w:r>
      <w:r>
        <w:rPr>
          <w:rFonts w:hint="eastAsia" w:eastAsia="仿宋"/>
          <w:b/>
          <w:bCs/>
          <w:sz w:val="24"/>
        </w:rPr>
        <w:t>阶段：</w:t>
      </w:r>
      <w:r>
        <w:rPr>
          <w:rFonts w:hint="eastAsia" w:eastAsia="仿宋"/>
          <w:sz w:val="24"/>
        </w:rPr>
        <w:t>2022年至2023年，分析国内外滨海湿地保护与恢复案例，结合滨海淤泥质滩涂水鸟高潮位栖息地的主要需求，确立滨海淤泥质滩涂水鸟高潮位栖息地保护修复的原则、依据和步骤，</w:t>
      </w:r>
      <w:r>
        <w:rPr>
          <w:rFonts w:eastAsia="仿宋"/>
          <w:sz w:val="24"/>
        </w:rPr>
        <w:t>学习相关的法律法规和标准化工作导则等文件，组织起草标准，</w:t>
      </w:r>
      <w:r>
        <w:rPr>
          <w:rFonts w:hint="eastAsia" w:eastAsia="仿宋"/>
          <w:sz w:val="24"/>
        </w:rPr>
        <w:t>以“条子泥720”和“条子泥一万亩”为样点，进行</w:t>
      </w:r>
      <w:r>
        <w:rPr>
          <w:rFonts w:eastAsia="仿宋"/>
          <w:sz w:val="24"/>
        </w:rPr>
        <w:t>标准</w:t>
      </w:r>
      <w:r>
        <w:rPr>
          <w:rFonts w:hint="eastAsia" w:eastAsia="仿宋"/>
          <w:sz w:val="24"/>
        </w:rPr>
        <w:t>关键技术内容的应用、调整与完善，并根据应用情况修改完善标准草案。</w:t>
      </w:r>
    </w:p>
    <w:p w14:paraId="7CEC5EC1">
      <w:pPr>
        <w:tabs>
          <w:tab w:val="left" w:pos="468"/>
        </w:tabs>
        <w:spacing w:line="360" w:lineRule="auto"/>
        <w:ind w:firstLine="482" w:firstLineChars="200"/>
        <w:rPr>
          <w:rFonts w:hint="eastAsia" w:eastAsia="仿宋"/>
          <w:sz w:val="24"/>
          <w:lang w:val="en-US" w:eastAsia="zh-CN"/>
        </w:rPr>
      </w:pPr>
      <w:r>
        <w:rPr>
          <w:rFonts w:hint="eastAsia" w:eastAsia="仿宋"/>
          <w:b/>
          <w:bCs/>
          <w:sz w:val="24"/>
        </w:rPr>
        <w:t>2、</w:t>
      </w:r>
      <w:r>
        <w:rPr>
          <w:rFonts w:hint="eastAsia" w:eastAsia="仿宋"/>
          <w:b/>
          <w:bCs/>
          <w:sz w:val="24"/>
          <w:lang w:val="en-US" w:eastAsia="zh-CN"/>
        </w:rPr>
        <w:t>成立起草小组</w:t>
      </w:r>
      <w:r>
        <w:rPr>
          <w:rFonts w:hint="eastAsia" w:eastAsia="仿宋"/>
          <w:sz w:val="24"/>
          <w:lang w:val="en-US" w:eastAsia="zh-CN"/>
        </w:rPr>
        <w:t>：组织专业技术人员成立标准编制小组，本标准主要起草人：姜文魁、陈庆、贾亦飞、姚志刚、翟可、王华、周丹、雷光春、孙莉莉、蒋勇、罗进东、江兵、周延、单中华。</w:t>
      </w:r>
    </w:p>
    <w:p w14:paraId="50168E25">
      <w:pPr>
        <w:keepNext w:val="0"/>
        <w:keepLines w:val="0"/>
        <w:pageBreakBefore w:val="0"/>
        <w:widowControl w:val="0"/>
        <w:tabs>
          <w:tab w:val="left" w:pos="468"/>
        </w:tabs>
        <w:kinsoku/>
        <w:wordWrap/>
        <w:overflowPunct/>
        <w:topLinePunct w:val="0"/>
        <w:autoSpaceDE/>
        <w:autoSpaceDN/>
        <w:bidi w:val="0"/>
        <w:adjustRightInd/>
        <w:snapToGrid/>
        <w:spacing w:line="360" w:lineRule="auto"/>
        <w:ind w:firstLine="482" w:firstLineChars="200"/>
        <w:textAlignment w:val="auto"/>
        <w:rPr>
          <w:rFonts w:hint="eastAsia" w:eastAsia="仿宋"/>
          <w:sz w:val="24"/>
          <w:lang w:eastAsia="zh-CN"/>
        </w:rPr>
      </w:pPr>
      <w:r>
        <w:rPr>
          <w:rFonts w:hint="eastAsia" w:eastAsia="仿宋"/>
          <w:b/>
          <w:bCs/>
          <w:sz w:val="24"/>
          <w:lang w:val="en-US" w:eastAsia="zh-CN"/>
        </w:rPr>
        <w:t>3、起草</w:t>
      </w:r>
      <w:r>
        <w:rPr>
          <w:rFonts w:hint="eastAsia" w:eastAsia="仿宋"/>
          <w:b/>
          <w:bCs/>
          <w:sz w:val="24"/>
        </w:rPr>
        <w:t>阶段：</w:t>
      </w:r>
      <w:r>
        <w:rPr>
          <w:rFonts w:hint="eastAsia" w:eastAsia="仿宋"/>
          <w:sz w:val="24"/>
        </w:rPr>
        <w:t>标准编写过程中，</w:t>
      </w:r>
      <w:r>
        <w:rPr>
          <w:rFonts w:hint="eastAsia" w:eastAsia="仿宋"/>
          <w:sz w:val="24"/>
          <w:lang w:val="en-US" w:eastAsia="zh-CN"/>
        </w:rPr>
        <w:t>标准起草组根据2020年至2024年调研数据和研究结果，</w:t>
      </w:r>
      <w:r>
        <w:rPr>
          <w:rFonts w:hint="eastAsia" w:eastAsia="仿宋"/>
          <w:sz w:val="24"/>
        </w:rPr>
        <w:t>严格按照 GB/T 1.1-2020《标准化工作导则 第 1 部分：标准化文件的结构和起草规则》的规定起草文件，经过多次讨论与修正，如期编制完成并提交了《滨海淤泥质滩涂水鸟高潮位栖息地保护修复技术规程》草案</w:t>
      </w:r>
      <w:r>
        <w:rPr>
          <w:rFonts w:hint="eastAsia" w:eastAsia="仿宋"/>
          <w:sz w:val="24"/>
          <w:lang w:eastAsia="zh-CN"/>
        </w:rPr>
        <w:t>。</w:t>
      </w:r>
    </w:p>
    <w:p w14:paraId="7AE789BA">
      <w:pPr>
        <w:pStyle w:val="3"/>
        <w:rPr>
          <w:rFonts w:ascii="Times New Roman" w:hAnsi="Times New Roman"/>
        </w:rPr>
      </w:pPr>
      <w:bookmarkStart w:id="90" w:name="_GoBack"/>
      <w:bookmarkEnd w:id="90"/>
      <w:bookmarkStart w:id="23" w:name="_Toc118217820"/>
      <w:bookmarkStart w:id="24" w:name="_Toc437244220"/>
      <w:bookmarkStart w:id="25" w:name="_Toc7485"/>
      <w:bookmarkStart w:id="26" w:name="_Toc32049"/>
      <w:r>
        <w:rPr>
          <w:rFonts w:hint="eastAsia" w:ascii="Times New Roman" w:hAnsi="Times New Roman"/>
        </w:rPr>
        <w:t>二</w:t>
      </w:r>
      <w:r>
        <w:rPr>
          <w:rFonts w:ascii="Times New Roman" w:hAnsi="Times New Roman"/>
        </w:rPr>
        <w:t>、</w:t>
      </w:r>
      <w:bookmarkEnd w:id="23"/>
      <w:bookmarkEnd w:id="24"/>
      <w:bookmarkEnd w:id="25"/>
      <w:r>
        <w:rPr>
          <w:rFonts w:ascii="Times New Roman" w:hAnsi="Times New Roman"/>
        </w:rPr>
        <w:t>标准编制原则和确定标准主要内容</w:t>
      </w:r>
      <w:r>
        <w:rPr>
          <w:rFonts w:hint="eastAsia" w:ascii="Times New Roman" w:hAnsi="Times New Roman"/>
        </w:rPr>
        <w:t>及</w:t>
      </w:r>
      <w:r>
        <w:rPr>
          <w:rFonts w:ascii="Times New Roman" w:hAnsi="Times New Roman"/>
        </w:rPr>
        <w:t>论据</w:t>
      </w:r>
      <w:bookmarkEnd w:id="26"/>
    </w:p>
    <w:p w14:paraId="1F9BAF7D">
      <w:pPr>
        <w:pStyle w:val="4"/>
      </w:pPr>
      <w:bookmarkStart w:id="27" w:name="_Toc4519"/>
      <w:bookmarkStart w:id="28" w:name="_Toc118217821"/>
      <w:bookmarkStart w:id="29" w:name="_Toc22775"/>
      <w:r>
        <w:t>（一）</w:t>
      </w:r>
      <w:bookmarkEnd w:id="27"/>
      <w:bookmarkEnd w:id="28"/>
      <w:r>
        <w:t>标准编制原则</w:t>
      </w:r>
      <w:bookmarkEnd w:id="29"/>
    </w:p>
    <w:p w14:paraId="32A81F42">
      <w:pPr>
        <w:spacing w:line="360" w:lineRule="auto"/>
        <w:ind w:firstLine="480"/>
        <w:outlineLvl w:val="2"/>
        <w:rPr>
          <w:rFonts w:eastAsia="仿宋"/>
          <w:b/>
          <w:bCs/>
          <w:sz w:val="24"/>
          <w:lang w:val="zh-CN"/>
        </w:rPr>
      </w:pPr>
      <w:bookmarkStart w:id="30" w:name="_Toc18985"/>
      <w:bookmarkStart w:id="31" w:name="_Toc8737"/>
      <w:bookmarkStart w:id="32" w:name="_Toc118217822"/>
      <w:r>
        <w:rPr>
          <w:rFonts w:eastAsia="仿宋"/>
          <w:b/>
          <w:bCs/>
          <w:sz w:val="24"/>
          <w:lang w:val="zh-CN"/>
        </w:rPr>
        <w:t>（1）</w:t>
      </w:r>
      <w:bookmarkEnd w:id="30"/>
      <w:bookmarkEnd w:id="31"/>
      <w:bookmarkEnd w:id="32"/>
      <w:r>
        <w:rPr>
          <w:rFonts w:hint="eastAsia" w:eastAsia="仿宋"/>
          <w:b/>
          <w:bCs/>
          <w:sz w:val="24"/>
          <w:lang w:val="zh-CN"/>
        </w:rPr>
        <w:t>生态优先原则</w:t>
      </w:r>
    </w:p>
    <w:p w14:paraId="76C40070">
      <w:pPr>
        <w:spacing w:line="360" w:lineRule="auto"/>
        <w:ind w:firstLine="480"/>
        <w:rPr>
          <w:rFonts w:eastAsia="仿宋"/>
          <w:sz w:val="24"/>
          <w:lang w:val="zh-CN"/>
        </w:rPr>
      </w:pPr>
      <w:r>
        <w:rPr>
          <w:rFonts w:hint="eastAsia" w:eastAsia="仿宋"/>
          <w:sz w:val="24"/>
          <w:lang w:val="zh-CN"/>
        </w:rPr>
        <w:t>水鸟高潮位栖息地的营造与保护修复应当维护生态系统结构和功能的完整性，提升高潮位栖息地生态功能，为迁徙水鸟提供理想的栖息场所，维持生态系统过程。</w:t>
      </w:r>
    </w:p>
    <w:p w14:paraId="5851C43E">
      <w:pPr>
        <w:spacing w:line="360" w:lineRule="auto"/>
        <w:ind w:firstLine="480"/>
        <w:outlineLvl w:val="2"/>
        <w:rPr>
          <w:rFonts w:eastAsia="仿宋"/>
          <w:b/>
          <w:bCs/>
          <w:sz w:val="24"/>
          <w:lang w:val="zh-CN"/>
        </w:rPr>
      </w:pPr>
      <w:r>
        <w:rPr>
          <w:rFonts w:hint="eastAsia" w:eastAsia="仿宋"/>
          <w:b/>
          <w:bCs/>
          <w:sz w:val="24"/>
          <w:lang w:val="zh-CN"/>
        </w:rPr>
        <w:t>（</w:t>
      </w:r>
      <w:r>
        <w:rPr>
          <w:rFonts w:hint="eastAsia" w:eastAsia="仿宋"/>
          <w:b/>
          <w:bCs/>
          <w:sz w:val="24"/>
        </w:rPr>
        <w:t>2</w:t>
      </w:r>
      <w:r>
        <w:rPr>
          <w:rFonts w:hint="eastAsia" w:eastAsia="仿宋"/>
          <w:b/>
          <w:bCs/>
          <w:sz w:val="24"/>
          <w:lang w:val="zh-CN"/>
        </w:rPr>
        <w:t>）科学性原则</w:t>
      </w:r>
    </w:p>
    <w:p w14:paraId="53E26C98">
      <w:pPr>
        <w:spacing w:line="360" w:lineRule="auto"/>
        <w:ind w:firstLine="480"/>
        <w:rPr>
          <w:rFonts w:eastAsia="仿宋"/>
          <w:sz w:val="24"/>
          <w:lang w:val="zh-CN"/>
        </w:rPr>
      </w:pPr>
      <w:r>
        <w:rPr>
          <w:rFonts w:hint="eastAsia" w:eastAsia="仿宋"/>
          <w:sz w:val="24"/>
          <w:lang w:val="zh-CN"/>
        </w:rPr>
        <w:t>水鸟高潮位栖息地的营造与保护修复应当因地制宜，保护修复实施方应当对区域范围内水鸟的种类和数量、水鸟的迁徙规律、周边土地利用情况有清楚的了解，收集相关数据作为科学支撑。</w:t>
      </w:r>
    </w:p>
    <w:p w14:paraId="306CD68A">
      <w:pPr>
        <w:spacing w:line="360" w:lineRule="auto"/>
        <w:ind w:firstLine="480"/>
        <w:outlineLvl w:val="2"/>
        <w:rPr>
          <w:rFonts w:eastAsia="仿宋"/>
          <w:b/>
          <w:bCs/>
          <w:sz w:val="24"/>
        </w:rPr>
      </w:pPr>
      <w:r>
        <w:rPr>
          <w:rFonts w:hint="eastAsia" w:eastAsia="仿宋"/>
          <w:b/>
          <w:bCs/>
          <w:sz w:val="24"/>
        </w:rPr>
        <w:t>（3）</w:t>
      </w:r>
      <w:r>
        <w:rPr>
          <w:rFonts w:hint="eastAsia" w:eastAsia="仿宋"/>
          <w:b/>
          <w:bCs/>
          <w:sz w:val="24"/>
          <w:lang w:val="zh-CN"/>
        </w:rPr>
        <w:t>经济性原则</w:t>
      </w:r>
    </w:p>
    <w:p w14:paraId="5A6F455F">
      <w:pPr>
        <w:spacing w:line="360" w:lineRule="auto"/>
        <w:ind w:firstLine="480"/>
        <w:rPr>
          <w:rFonts w:eastAsia="楷体_GB2312"/>
          <w:b/>
          <w:sz w:val="28"/>
          <w:szCs w:val="28"/>
        </w:rPr>
      </w:pPr>
      <w:r>
        <w:rPr>
          <w:rFonts w:hint="eastAsia" w:eastAsia="仿宋"/>
          <w:sz w:val="24"/>
          <w:lang w:val="zh-CN"/>
        </w:rPr>
        <w:t>可以在现有的稻田、盐田、养殖塘、废弃池、堤内洼地等土地类型中，选取其中一部分进行改造，形成人工高潮位栖息地。</w:t>
      </w:r>
    </w:p>
    <w:p w14:paraId="79C53429">
      <w:pPr>
        <w:pStyle w:val="4"/>
        <w:numPr>
          <w:ilvl w:val="0"/>
          <w:numId w:val="3"/>
        </w:numPr>
      </w:pPr>
      <w:bookmarkStart w:id="33" w:name="_Toc20980"/>
      <w:bookmarkStart w:id="34" w:name="_Toc7734"/>
      <w:bookmarkStart w:id="35" w:name="_Toc118217825"/>
      <w:r>
        <w:t>确定主要标准内容</w:t>
      </w:r>
      <w:r>
        <w:rPr>
          <w:rFonts w:hint="eastAsia"/>
        </w:rPr>
        <w:t>及</w:t>
      </w:r>
      <w:r>
        <w:t>论据</w:t>
      </w:r>
      <w:bookmarkEnd w:id="33"/>
      <w:bookmarkEnd w:id="34"/>
      <w:bookmarkEnd w:id="35"/>
    </w:p>
    <w:p w14:paraId="1D6F0341">
      <w:pPr>
        <w:pStyle w:val="4"/>
        <w:numPr>
          <w:ilvl w:val="0"/>
          <w:numId w:val="4"/>
        </w:numPr>
        <w:ind w:firstLine="482" w:firstLineChars="200"/>
      </w:pPr>
      <w:bookmarkStart w:id="36" w:name="_Toc29124"/>
      <w:bookmarkStart w:id="37" w:name="_Toc118217826"/>
      <w:bookmarkStart w:id="38" w:name="_Toc14358"/>
      <w:r>
        <w:rPr>
          <w:rFonts w:hint="eastAsia"/>
        </w:rPr>
        <w:t>滨海淤泥质滩涂水鸟高潮位栖息地保护修复技术规程</w:t>
      </w:r>
      <w:r>
        <w:t>的</w:t>
      </w:r>
      <w:bookmarkEnd w:id="36"/>
      <w:bookmarkEnd w:id="37"/>
      <w:bookmarkEnd w:id="38"/>
      <w:r>
        <w:rPr>
          <w:rFonts w:hint="eastAsia"/>
        </w:rPr>
        <w:t>组成</w:t>
      </w:r>
    </w:p>
    <w:p w14:paraId="46DC9FEB">
      <w:pPr>
        <w:spacing w:line="360" w:lineRule="auto"/>
        <w:ind w:firstLine="480"/>
        <w:rPr>
          <w:rFonts w:eastAsia="仿宋"/>
          <w:sz w:val="24"/>
        </w:rPr>
      </w:pPr>
      <w:r>
        <w:rPr>
          <w:rFonts w:eastAsia="仿宋"/>
          <w:sz w:val="24"/>
        </w:rPr>
        <w:t>第1部分：</w:t>
      </w:r>
      <w:r>
        <w:rPr>
          <w:rFonts w:hint="eastAsia" w:eastAsia="仿宋"/>
          <w:sz w:val="24"/>
        </w:rPr>
        <w:t>保护修复区域的选择</w:t>
      </w:r>
    </w:p>
    <w:p w14:paraId="18EFC2E8">
      <w:pPr>
        <w:spacing w:line="360" w:lineRule="auto"/>
        <w:ind w:firstLine="480"/>
        <w:rPr>
          <w:rFonts w:eastAsia="仿宋"/>
          <w:sz w:val="24"/>
        </w:rPr>
      </w:pPr>
      <w:r>
        <w:rPr>
          <w:rFonts w:eastAsia="仿宋"/>
          <w:sz w:val="24"/>
        </w:rPr>
        <w:t>第2部分：</w:t>
      </w:r>
      <w:r>
        <w:rPr>
          <w:rFonts w:hint="eastAsia" w:eastAsia="仿宋"/>
          <w:sz w:val="24"/>
        </w:rPr>
        <w:t>高潮位栖息地的构建</w:t>
      </w:r>
    </w:p>
    <w:p w14:paraId="4114EB2A">
      <w:pPr>
        <w:spacing w:line="360" w:lineRule="auto"/>
        <w:ind w:firstLine="480"/>
        <w:rPr>
          <w:rFonts w:eastAsia="仿宋"/>
          <w:sz w:val="24"/>
        </w:rPr>
      </w:pPr>
      <w:r>
        <w:rPr>
          <w:rFonts w:eastAsia="仿宋"/>
          <w:sz w:val="24"/>
        </w:rPr>
        <w:t>第</w:t>
      </w:r>
      <w:r>
        <w:rPr>
          <w:rFonts w:hint="eastAsia" w:eastAsia="仿宋"/>
          <w:sz w:val="24"/>
        </w:rPr>
        <w:t>3</w:t>
      </w:r>
      <w:r>
        <w:rPr>
          <w:rFonts w:eastAsia="仿宋"/>
          <w:sz w:val="24"/>
        </w:rPr>
        <w:t>部分：</w:t>
      </w:r>
      <w:r>
        <w:rPr>
          <w:rFonts w:hint="eastAsia" w:eastAsia="仿宋"/>
          <w:sz w:val="24"/>
        </w:rPr>
        <w:t>高潮位栖息地建设要求</w:t>
      </w:r>
    </w:p>
    <w:p w14:paraId="5A8E7C87">
      <w:pPr>
        <w:spacing w:line="360" w:lineRule="auto"/>
        <w:ind w:firstLine="480"/>
        <w:rPr>
          <w:rFonts w:eastAsia="仿宋"/>
          <w:sz w:val="24"/>
        </w:rPr>
      </w:pPr>
      <w:r>
        <w:rPr>
          <w:rFonts w:eastAsia="仿宋"/>
          <w:sz w:val="24"/>
        </w:rPr>
        <w:t>第</w:t>
      </w:r>
      <w:r>
        <w:rPr>
          <w:rFonts w:hint="eastAsia" w:eastAsia="仿宋"/>
          <w:sz w:val="24"/>
        </w:rPr>
        <w:t>4</w:t>
      </w:r>
      <w:r>
        <w:rPr>
          <w:rFonts w:eastAsia="仿宋"/>
          <w:sz w:val="24"/>
        </w:rPr>
        <w:t>部分：</w:t>
      </w:r>
      <w:r>
        <w:rPr>
          <w:rFonts w:hint="eastAsia" w:eastAsia="仿宋"/>
          <w:sz w:val="24"/>
        </w:rPr>
        <w:t>高潮位栖息地的监测与巡护</w:t>
      </w:r>
    </w:p>
    <w:p w14:paraId="274C31D1">
      <w:pPr>
        <w:pStyle w:val="4"/>
        <w:numPr>
          <w:ilvl w:val="0"/>
          <w:numId w:val="4"/>
        </w:numPr>
        <w:ind w:firstLine="482" w:firstLineChars="200"/>
      </w:pPr>
      <w:bookmarkStart w:id="39" w:name="_Toc118217827"/>
      <w:bookmarkStart w:id="40" w:name="_Toc16630"/>
      <w:bookmarkStart w:id="41" w:name="_Toc12392"/>
      <w:r>
        <w:rPr>
          <w:rFonts w:hint="eastAsia"/>
        </w:rPr>
        <w:t>滨海淤泥质滩涂水鸟高潮位栖息地</w:t>
      </w:r>
      <w:r>
        <w:t>相关术语界定</w:t>
      </w:r>
      <w:bookmarkEnd w:id="39"/>
      <w:bookmarkEnd w:id="40"/>
      <w:bookmarkEnd w:id="41"/>
    </w:p>
    <w:p w14:paraId="311FF28C">
      <w:pPr>
        <w:spacing w:line="360" w:lineRule="auto"/>
        <w:ind w:firstLine="480"/>
        <w:rPr>
          <w:rFonts w:eastAsia="仿宋"/>
          <w:sz w:val="24"/>
          <w:lang w:val="zh-CN"/>
        </w:rPr>
      </w:pPr>
      <w:r>
        <w:rPr>
          <w:rFonts w:hint="eastAsia" w:eastAsia="仿宋"/>
          <w:sz w:val="24"/>
          <w:lang w:val="zh-CN"/>
        </w:rPr>
        <w:t>本</w:t>
      </w:r>
      <w:r>
        <w:rPr>
          <w:rFonts w:hint="eastAsia" w:eastAsia="仿宋"/>
          <w:sz w:val="24"/>
        </w:rPr>
        <w:t>标准</w:t>
      </w:r>
      <w:r>
        <w:rPr>
          <w:rFonts w:hint="eastAsia" w:eastAsia="仿宋"/>
          <w:sz w:val="24"/>
          <w:lang w:val="zh-CN"/>
        </w:rPr>
        <w:t>中定义的术语选择遵循以下原则：本</w:t>
      </w:r>
      <w:r>
        <w:rPr>
          <w:rFonts w:hint="eastAsia" w:eastAsia="仿宋"/>
          <w:sz w:val="24"/>
        </w:rPr>
        <w:t>标准</w:t>
      </w:r>
      <w:r>
        <w:rPr>
          <w:rFonts w:hint="eastAsia" w:eastAsia="仿宋"/>
          <w:sz w:val="24"/>
          <w:lang w:val="zh-CN"/>
        </w:rPr>
        <w:t>必需的，但现行标准尚未规定的术语；在不同语境中具有不同解释，可能产生歧义的术语；不被人们熟知的术语。基于此原则，本</w:t>
      </w:r>
      <w:r>
        <w:rPr>
          <w:rFonts w:hint="eastAsia" w:eastAsia="仿宋"/>
          <w:sz w:val="24"/>
        </w:rPr>
        <w:t>标准</w:t>
      </w:r>
      <w:r>
        <w:rPr>
          <w:rFonts w:hint="eastAsia" w:eastAsia="仿宋"/>
          <w:sz w:val="24"/>
          <w:lang w:val="zh-CN"/>
        </w:rPr>
        <w:t>对滨海淤泥质滩涂、水鸟、游禽、涉禽、高潮位栖息地等术语进行了定义。</w:t>
      </w:r>
    </w:p>
    <w:p w14:paraId="31A8B39C">
      <w:pPr>
        <w:numPr>
          <w:ilvl w:val="0"/>
          <w:numId w:val="5"/>
        </w:numPr>
        <w:spacing w:line="360" w:lineRule="auto"/>
        <w:ind w:firstLine="480"/>
        <w:rPr>
          <w:rFonts w:eastAsia="仿宋"/>
          <w:b/>
          <w:bCs/>
          <w:sz w:val="24"/>
        </w:rPr>
      </w:pPr>
      <w:r>
        <w:rPr>
          <w:rFonts w:hint="eastAsia" w:eastAsia="仿宋"/>
          <w:b/>
          <w:bCs/>
          <w:sz w:val="24"/>
        </w:rPr>
        <w:t>滨海淤泥质滩涂（Coastal muddy flat）</w:t>
      </w:r>
    </w:p>
    <w:p w14:paraId="2FFF3DD7">
      <w:pPr>
        <w:spacing w:line="360" w:lineRule="auto"/>
        <w:ind w:firstLine="480"/>
        <w:rPr>
          <w:rFonts w:eastAsia="仿宋"/>
          <w:sz w:val="24"/>
          <w:lang w:val="zh-CN"/>
        </w:rPr>
      </w:pPr>
      <w:r>
        <w:rPr>
          <w:rFonts w:hint="eastAsia" w:eastAsia="仿宋"/>
          <w:sz w:val="24"/>
          <w:lang w:val="zh-CN"/>
        </w:rPr>
        <w:t>由江河输送的粉沙和土粒淤积而成的沿海滩涂。</w:t>
      </w:r>
    </w:p>
    <w:p w14:paraId="6DF43699">
      <w:pPr>
        <w:numPr>
          <w:ilvl w:val="0"/>
          <w:numId w:val="5"/>
        </w:numPr>
        <w:spacing w:line="360" w:lineRule="auto"/>
        <w:ind w:firstLine="480"/>
        <w:rPr>
          <w:rFonts w:eastAsia="仿宋"/>
          <w:b/>
          <w:bCs/>
          <w:sz w:val="24"/>
        </w:rPr>
      </w:pPr>
      <w:r>
        <w:rPr>
          <w:rFonts w:hint="eastAsia" w:eastAsia="仿宋"/>
          <w:b/>
          <w:bCs/>
          <w:sz w:val="24"/>
        </w:rPr>
        <w:t>水鸟（waterbird）</w:t>
      </w:r>
    </w:p>
    <w:p w14:paraId="4CDF6F16">
      <w:pPr>
        <w:spacing w:line="360" w:lineRule="auto"/>
        <w:ind w:firstLine="480"/>
        <w:rPr>
          <w:rFonts w:eastAsia="仿宋"/>
          <w:sz w:val="24"/>
          <w:lang w:val="zh-CN"/>
        </w:rPr>
      </w:pPr>
      <w:r>
        <w:rPr>
          <w:rFonts w:hint="eastAsia" w:eastAsia="仿宋"/>
          <w:sz w:val="24"/>
          <w:lang w:val="zh-CN"/>
        </w:rPr>
        <w:t>《湿地公约》提出水鸟的概念是指</w:t>
      </w:r>
      <w:r>
        <w:rPr>
          <w:rFonts w:eastAsia="仿宋"/>
          <w:sz w:val="24"/>
        </w:rPr>
        <w:t>“</w:t>
      </w:r>
      <w:r>
        <w:rPr>
          <w:rFonts w:hint="eastAsia" w:eastAsia="仿宋"/>
          <w:sz w:val="24"/>
          <w:lang w:val="zh-CN"/>
        </w:rPr>
        <w:t>生态上依赖于湿地的鸟类</w:t>
      </w:r>
      <w:r>
        <w:rPr>
          <w:rFonts w:eastAsia="仿宋"/>
          <w:sz w:val="24"/>
        </w:rPr>
        <w:t>”</w:t>
      </w:r>
      <w:r>
        <w:rPr>
          <w:rFonts w:hint="eastAsia" w:eastAsia="仿宋"/>
          <w:sz w:val="24"/>
          <w:lang w:val="zh-CN"/>
        </w:rPr>
        <w:t>。本</w:t>
      </w:r>
      <w:r>
        <w:rPr>
          <w:rFonts w:hint="eastAsia" w:eastAsia="仿宋"/>
          <w:sz w:val="24"/>
        </w:rPr>
        <w:t>标准</w:t>
      </w:r>
      <w:r>
        <w:rPr>
          <w:rFonts w:hint="eastAsia" w:eastAsia="仿宋"/>
          <w:sz w:val="24"/>
          <w:lang w:val="zh-CN"/>
        </w:rPr>
        <w:t>将水鸟</w:t>
      </w:r>
      <w:r>
        <w:rPr>
          <w:rFonts w:hint="eastAsia" w:eastAsia="仿宋"/>
          <w:sz w:val="24"/>
        </w:rPr>
        <w:t>定义为</w:t>
      </w:r>
      <w:r>
        <w:rPr>
          <w:rFonts w:hint="eastAsia" w:eastAsia="仿宋"/>
          <w:sz w:val="24"/>
          <w:lang w:val="zh-CN"/>
        </w:rPr>
        <w:t>生态学上主要依赖湿地而生存的鸟类的统称，分为游禽和涉禽两大类。</w:t>
      </w:r>
    </w:p>
    <w:p w14:paraId="32B58139">
      <w:pPr>
        <w:numPr>
          <w:ilvl w:val="0"/>
          <w:numId w:val="5"/>
        </w:numPr>
        <w:spacing w:line="360" w:lineRule="auto"/>
        <w:ind w:firstLine="480"/>
        <w:rPr>
          <w:rFonts w:eastAsia="仿宋"/>
          <w:b/>
          <w:bCs/>
          <w:sz w:val="24"/>
        </w:rPr>
      </w:pPr>
      <w:r>
        <w:rPr>
          <w:rFonts w:hint="eastAsia" w:eastAsia="仿宋"/>
          <w:b/>
          <w:bCs/>
          <w:sz w:val="24"/>
        </w:rPr>
        <w:t>游禽（waterfowl）</w:t>
      </w:r>
    </w:p>
    <w:p w14:paraId="782B4690">
      <w:pPr>
        <w:spacing w:line="360" w:lineRule="auto"/>
        <w:ind w:firstLine="480"/>
        <w:rPr>
          <w:rFonts w:eastAsia="仿宋"/>
          <w:sz w:val="24"/>
          <w:lang w:val="zh-CN"/>
        </w:rPr>
      </w:pPr>
      <w:r>
        <w:rPr>
          <w:rFonts w:hint="eastAsia" w:eastAsia="仿宋"/>
          <w:sz w:val="24"/>
          <w:lang w:val="zh-CN"/>
        </w:rPr>
        <w:t>翼发达，善飞，足具蹼，善游泳、潜水，常在水面漂游，在水中取食的鸟类。本</w:t>
      </w:r>
      <w:r>
        <w:rPr>
          <w:rFonts w:hint="eastAsia" w:eastAsia="仿宋"/>
          <w:sz w:val="24"/>
        </w:rPr>
        <w:t>标准</w:t>
      </w:r>
      <w:r>
        <w:rPr>
          <w:rFonts w:hint="eastAsia" w:eastAsia="仿宋"/>
          <w:sz w:val="24"/>
          <w:lang w:val="zh-CN"/>
        </w:rPr>
        <w:t>将游禽</w:t>
      </w:r>
      <w:r>
        <w:rPr>
          <w:rFonts w:hint="eastAsia" w:eastAsia="仿宋"/>
          <w:sz w:val="24"/>
        </w:rPr>
        <w:t>定义为</w:t>
      </w:r>
      <w:r>
        <w:rPr>
          <w:rFonts w:hint="eastAsia" w:eastAsia="仿宋"/>
          <w:sz w:val="24"/>
          <w:lang w:val="zh-CN"/>
        </w:rPr>
        <w:t>适应于游泳或潜水生活的水鸟，通常身体羽毛致密、足上多具有蹼。</w:t>
      </w:r>
    </w:p>
    <w:p w14:paraId="2F3F00DE">
      <w:pPr>
        <w:numPr>
          <w:ilvl w:val="0"/>
          <w:numId w:val="5"/>
        </w:numPr>
        <w:spacing w:line="360" w:lineRule="auto"/>
        <w:ind w:firstLine="480"/>
        <w:rPr>
          <w:rFonts w:eastAsia="仿宋"/>
          <w:b/>
          <w:bCs/>
          <w:sz w:val="24"/>
        </w:rPr>
      </w:pPr>
      <w:r>
        <w:rPr>
          <w:rFonts w:hint="eastAsia" w:eastAsia="仿宋"/>
          <w:b/>
          <w:bCs/>
          <w:sz w:val="24"/>
        </w:rPr>
        <w:t>涉禽（Wading bird）</w:t>
      </w:r>
    </w:p>
    <w:p w14:paraId="1F11168C">
      <w:pPr>
        <w:spacing w:line="360" w:lineRule="auto"/>
        <w:ind w:firstLine="480"/>
        <w:rPr>
          <w:rFonts w:eastAsia="仿宋"/>
          <w:sz w:val="24"/>
          <w:lang w:val="zh-CN"/>
        </w:rPr>
      </w:pPr>
      <w:r>
        <w:rPr>
          <w:rFonts w:hint="eastAsia" w:eastAsia="仿宋"/>
          <w:sz w:val="24"/>
          <w:lang w:val="zh-CN"/>
        </w:rPr>
        <w:t>适应于在沼泽、浅水区涉水、或在裸露滩涂上活动的水鸟，一般具有颈长、腿长及嘴长的形态特征。</w:t>
      </w:r>
    </w:p>
    <w:p w14:paraId="6D9AC0CA">
      <w:pPr>
        <w:numPr>
          <w:ilvl w:val="0"/>
          <w:numId w:val="5"/>
        </w:numPr>
        <w:spacing w:line="360" w:lineRule="auto"/>
        <w:ind w:firstLine="480"/>
        <w:rPr>
          <w:rFonts w:eastAsia="仿宋"/>
          <w:b/>
          <w:bCs/>
          <w:sz w:val="24"/>
        </w:rPr>
      </w:pPr>
      <w:r>
        <w:rPr>
          <w:rFonts w:hint="eastAsia" w:eastAsia="仿宋"/>
          <w:b/>
          <w:bCs/>
          <w:sz w:val="24"/>
        </w:rPr>
        <w:t>高潮位栖息地（High-tidal roost）</w:t>
      </w:r>
    </w:p>
    <w:p w14:paraId="64E2ED9B">
      <w:pPr>
        <w:spacing w:line="360" w:lineRule="auto"/>
        <w:ind w:firstLine="480"/>
        <w:rPr>
          <w:rFonts w:eastAsia="仿宋"/>
          <w:sz w:val="24"/>
          <w:lang w:val="zh-CN"/>
        </w:rPr>
      </w:pPr>
      <w:r>
        <w:rPr>
          <w:rFonts w:hint="eastAsia" w:eastAsia="仿宋"/>
          <w:sz w:val="24"/>
          <w:lang w:val="zh-CN"/>
        </w:rPr>
        <w:t>天然的或人工的、在涨潮时不会被海水所淹没的、适宜水鸟栖息的场所即为高潮位栖息地。通常包括天然的潮上带泥滩、沙洲，人工的稻田、养殖塘、盐田、盐沼等。</w:t>
      </w:r>
    </w:p>
    <w:p w14:paraId="70C2469F">
      <w:pPr>
        <w:numPr>
          <w:ilvl w:val="0"/>
          <w:numId w:val="5"/>
        </w:numPr>
        <w:spacing w:line="360" w:lineRule="auto"/>
        <w:ind w:firstLine="480"/>
        <w:rPr>
          <w:rFonts w:eastAsia="仿宋"/>
          <w:b/>
          <w:bCs/>
          <w:sz w:val="24"/>
        </w:rPr>
      </w:pPr>
      <w:r>
        <w:rPr>
          <w:rFonts w:hint="eastAsia" w:eastAsia="仿宋"/>
          <w:b/>
          <w:bCs/>
          <w:sz w:val="24"/>
        </w:rPr>
        <w:t>生境（habitat）</w:t>
      </w:r>
    </w:p>
    <w:p w14:paraId="681C3081">
      <w:pPr>
        <w:spacing w:line="360" w:lineRule="auto"/>
        <w:ind w:firstLine="480"/>
        <w:rPr>
          <w:rFonts w:eastAsia="仿宋"/>
          <w:sz w:val="24"/>
          <w:lang w:val="zh-CN"/>
        </w:rPr>
      </w:pPr>
      <w:r>
        <w:rPr>
          <w:rFonts w:hint="eastAsia" w:eastAsia="仿宋"/>
          <w:sz w:val="24"/>
          <w:lang w:val="zh-CN"/>
        </w:rPr>
        <w:t>生境或栖息地</w:t>
      </w:r>
      <w:r>
        <w:rPr>
          <w:rFonts w:hint="eastAsia" w:eastAsia="仿宋"/>
          <w:sz w:val="24"/>
        </w:rPr>
        <w:t>（habitat），1917</w:t>
      </w:r>
      <w:r>
        <w:rPr>
          <w:rFonts w:hint="eastAsia" w:eastAsia="仿宋"/>
          <w:sz w:val="24"/>
          <w:lang w:val="zh-CN"/>
        </w:rPr>
        <w:t>年由美国的</w:t>
      </w:r>
      <w:r>
        <w:rPr>
          <w:rFonts w:hint="eastAsia" w:eastAsia="仿宋"/>
          <w:sz w:val="24"/>
        </w:rPr>
        <w:t>Grinnel</w:t>
      </w:r>
      <w:r>
        <w:rPr>
          <w:rFonts w:hint="eastAsia" w:eastAsia="仿宋"/>
          <w:sz w:val="24"/>
          <w:lang w:val="zh-CN"/>
        </w:rPr>
        <w:t>提出</w:t>
      </w:r>
      <w:r>
        <w:rPr>
          <w:rFonts w:hint="eastAsia" w:eastAsia="仿宋"/>
          <w:sz w:val="24"/>
        </w:rPr>
        <w:t>，</w:t>
      </w:r>
      <w:r>
        <w:rPr>
          <w:rFonts w:hint="eastAsia" w:eastAsia="仿宋"/>
          <w:sz w:val="24"/>
          <w:lang w:val="zh-CN"/>
        </w:rPr>
        <w:t>是指生物的天然栖息场所</w:t>
      </w:r>
      <w:r>
        <w:rPr>
          <w:rFonts w:hint="eastAsia" w:eastAsia="仿宋"/>
          <w:sz w:val="24"/>
        </w:rPr>
        <w:t>，</w:t>
      </w:r>
      <w:r>
        <w:rPr>
          <w:rFonts w:hint="eastAsia" w:eastAsia="仿宋"/>
          <w:sz w:val="24"/>
          <w:lang w:val="zh-CN"/>
        </w:rPr>
        <w:t>即生物能在其中完成生命周期的空间</w:t>
      </w:r>
      <w:r>
        <w:rPr>
          <w:rFonts w:hint="eastAsia" w:eastAsia="仿宋"/>
          <w:sz w:val="24"/>
        </w:rPr>
        <w:t>，</w:t>
      </w:r>
      <w:r>
        <w:rPr>
          <w:rFonts w:hint="eastAsia" w:eastAsia="仿宋"/>
          <w:sz w:val="24"/>
          <w:lang w:val="zh-CN"/>
        </w:rPr>
        <w:t>各种生态环境因子的总和。对于</w:t>
      </w:r>
      <w:r>
        <w:rPr>
          <w:rFonts w:hint="eastAsia" w:eastAsia="仿宋"/>
          <w:sz w:val="24"/>
        </w:rPr>
        <w:t>水鸟</w:t>
      </w:r>
      <w:r>
        <w:rPr>
          <w:rFonts w:hint="eastAsia" w:eastAsia="仿宋"/>
          <w:sz w:val="24"/>
          <w:lang w:val="zh-CN"/>
        </w:rPr>
        <w:t>而言，生境就是其所占的环境类型，进行各种生命活动的空间。从空间尺度上，生境分包括宏观生境（Macrohabitat）和微观生境（Microhabitat）；从时间尺度上，生境有繁殖生境、越冬生境等。</w:t>
      </w:r>
      <w:r>
        <w:rPr>
          <w:rFonts w:hint="eastAsia" w:eastAsia="仿宋"/>
          <w:sz w:val="24"/>
        </w:rPr>
        <w:t>本标准将生境定义为</w:t>
      </w:r>
      <w:r>
        <w:rPr>
          <w:rFonts w:hint="eastAsia" w:eastAsia="仿宋"/>
          <w:sz w:val="24"/>
          <w:lang w:val="zh-CN"/>
        </w:rPr>
        <w:t>生物的个体、种群或群落生活地域的环境。</w:t>
      </w:r>
    </w:p>
    <w:p w14:paraId="1C7DB0B0">
      <w:pPr>
        <w:numPr>
          <w:ilvl w:val="0"/>
          <w:numId w:val="5"/>
        </w:numPr>
        <w:spacing w:line="360" w:lineRule="auto"/>
        <w:ind w:firstLine="480"/>
        <w:rPr>
          <w:rFonts w:eastAsia="仿宋"/>
          <w:b/>
          <w:bCs/>
          <w:sz w:val="24"/>
        </w:rPr>
      </w:pPr>
      <w:r>
        <w:rPr>
          <w:rFonts w:hint="eastAsia" w:eastAsia="仿宋"/>
          <w:b/>
          <w:bCs/>
          <w:sz w:val="24"/>
        </w:rPr>
        <w:t>水质（water quality）</w:t>
      </w:r>
    </w:p>
    <w:p w14:paraId="1CF01207">
      <w:pPr>
        <w:spacing w:line="360" w:lineRule="auto"/>
        <w:ind w:firstLine="480"/>
        <w:rPr>
          <w:rFonts w:eastAsia="仿宋"/>
          <w:sz w:val="24"/>
          <w:lang w:val="zh-CN"/>
        </w:rPr>
      </w:pPr>
      <w:r>
        <w:rPr>
          <w:rFonts w:hint="eastAsia" w:eastAsia="仿宋"/>
          <w:sz w:val="24"/>
          <w:lang w:val="zh-CN"/>
        </w:rPr>
        <w:t>指水和水中所含杂质共同构成的物理、化学和生物学的综合性质。</w:t>
      </w:r>
    </w:p>
    <w:p w14:paraId="40F051F6">
      <w:pPr>
        <w:numPr>
          <w:ilvl w:val="0"/>
          <w:numId w:val="5"/>
        </w:numPr>
        <w:spacing w:line="360" w:lineRule="auto"/>
        <w:ind w:firstLine="480"/>
        <w:rPr>
          <w:rFonts w:eastAsia="仿宋"/>
          <w:b/>
          <w:bCs/>
          <w:sz w:val="24"/>
        </w:rPr>
      </w:pPr>
      <w:r>
        <w:rPr>
          <w:rFonts w:hint="eastAsia" w:eastAsia="仿宋"/>
          <w:b/>
          <w:bCs/>
          <w:sz w:val="24"/>
        </w:rPr>
        <w:t>植被（vegetation）</w:t>
      </w:r>
    </w:p>
    <w:p w14:paraId="5E8525C7">
      <w:pPr>
        <w:spacing w:line="360" w:lineRule="auto"/>
        <w:ind w:firstLine="480"/>
        <w:rPr>
          <w:rFonts w:eastAsia="仿宋"/>
          <w:sz w:val="24"/>
          <w:lang w:val="zh-CN"/>
        </w:rPr>
      </w:pPr>
      <w:r>
        <w:fldChar w:fldCharType="begin"/>
      </w:r>
      <w:r>
        <w:instrText xml:space="preserve"> HYPERLINK "https://www.plant-ecology.com/article/2020/1005-264X/1005-264X-44-2-96.shtml" </w:instrText>
      </w:r>
      <w:r>
        <w:fldChar w:fldCharType="separate"/>
      </w:r>
      <w:r>
        <w:rPr>
          <w:rFonts w:hint="eastAsia" w:eastAsia="仿宋"/>
          <w:sz w:val="24"/>
          <w:lang w:val="zh-CN"/>
        </w:rPr>
        <w:t>植物</w:t>
      </w:r>
      <w:r>
        <w:rPr>
          <w:rFonts w:hint="eastAsia" w:eastAsia="仿宋"/>
          <w:sz w:val="24"/>
          <w:lang w:val="zh-CN"/>
        </w:rPr>
        <w:fldChar w:fldCharType="end"/>
      </w:r>
      <w:r>
        <w:rPr>
          <w:rFonts w:hint="eastAsia" w:eastAsia="仿宋"/>
          <w:sz w:val="24"/>
          <w:lang w:val="zh-CN"/>
        </w:rPr>
        <w:t>种类及其个体并非彼此独立、无序地存在于自然界, 而是通过竞争、互惠等相互作用，形成千变万化的物种组合，以适应其共同生存的</w:t>
      </w:r>
      <w:r>
        <w:fldChar w:fldCharType="begin"/>
      </w:r>
      <w:r>
        <w:instrText xml:space="preserve"> HYPERLINK "https://www.plant-ecology.com/article/2020/1005-264X/1005-264X-44-2-96.shtml" </w:instrText>
      </w:r>
      <w:r>
        <w:fldChar w:fldCharType="separate"/>
      </w:r>
      <w:r>
        <w:rPr>
          <w:rFonts w:hint="eastAsia" w:eastAsia="仿宋"/>
          <w:sz w:val="24"/>
          <w:lang w:val="zh-CN"/>
        </w:rPr>
        <w:t>环境</w:t>
      </w:r>
      <w:r>
        <w:rPr>
          <w:rFonts w:hint="eastAsia" w:eastAsia="仿宋"/>
          <w:sz w:val="24"/>
          <w:lang w:val="zh-CN"/>
        </w:rPr>
        <w:fldChar w:fldCharType="end"/>
      </w:r>
      <w:r>
        <w:rPr>
          <w:rFonts w:hint="eastAsia" w:eastAsia="仿宋"/>
          <w:sz w:val="24"/>
          <w:lang w:val="zh-CN"/>
        </w:rPr>
        <w:t>。这些</w:t>
      </w:r>
      <w:r>
        <w:fldChar w:fldCharType="begin"/>
      </w:r>
      <w:r>
        <w:instrText xml:space="preserve"> HYPERLINK "https://www.plant-ecology.com/article/2020/1005-264X/1005-264X-44-2-96.shtml" </w:instrText>
      </w:r>
      <w:r>
        <w:fldChar w:fldCharType="separate"/>
      </w:r>
      <w:r>
        <w:rPr>
          <w:rFonts w:hint="eastAsia" w:eastAsia="仿宋"/>
          <w:sz w:val="24"/>
          <w:lang w:val="zh-CN"/>
        </w:rPr>
        <w:t>植物</w:t>
      </w:r>
      <w:r>
        <w:rPr>
          <w:rFonts w:hint="eastAsia" w:eastAsia="仿宋"/>
          <w:sz w:val="24"/>
          <w:lang w:val="zh-CN"/>
        </w:rPr>
        <w:fldChar w:fldCharType="end"/>
      </w:r>
      <w:r>
        <w:rPr>
          <w:rFonts w:hint="eastAsia" w:eastAsia="仿宋"/>
          <w:sz w:val="24"/>
          <w:lang w:val="zh-CN"/>
        </w:rPr>
        <w:t>组合就是</w:t>
      </w:r>
      <w:r>
        <w:fldChar w:fldCharType="begin"/>
      </w:r>
      <w:r>
        <w:instrText xml:space="preserve"> HYPERLINK "https://www.plant-ecology.com/article/2020/1005-264X/1005-264X-44-2-96.shtml" </w:instrText>
      </w:r>
      <w:r>
        <w:fldChar w:fldCharType="separate"/>
      </w:r>
      <w:r>
        <w:rPr>
          <w:rFonts w:hint="eastAsia" w:eastAsia="仿宋"/>
          <w:sz w:val="24"/>
          <w:lang w:val="zh-CN"/>
        </w:rPr>
        <w:t>植物</w:t>
      </w:r>
      <w:r>
        <w:rPr>
          <w:rFonts w:hint="eastAsia" w:eastAsia="仿宋"/>
          <w:sz w:val="24"/>
          <w:lang w:val="zh-CN"/>
        </w:rPr>
        <w:fldChar w:fldCharType="end"/>
      </w:r>
      <w:r>
        <w:fldChar w:fldCharType="begin"/>
      </w:r>
      <w:r>
        <w:instrText xml:space="preserve"> HYPERLINK "https://www.plant-ecology.com/article/2020/1005-264X/1005-264X-44-2-96.shtml" </w:instrText>
      </w:r>
      <w:r>
        <w:fldChar w:fldCharType="separate"/>
      </w:r>
      <w:r>
        <w:rPr>
          <w:rFonts w:hint="eastAsia" w:eastAsia="仿宋"/>
          <w:sz w:val="24"/>
          <w:lang w:val="zh-CN"/>
        </w:rPr>
        <w:t>群落</w:t>
      </w:r>
      <w:r>
        <w:rPr>
          <w:rFonts w:hint="eastAsia" w:eastAsia="仿宋"/>
          <w:sz w:val="24"/>
          <w:lang w:val="zh-CN"/>
        </w:rPr>
        <w:fldChar w:fldCharType="end"/>
      </w:r>
      <w:r>
        <w:rPr>
          <w:rFonts w:hint="eastAsia" w:eastAsia="仿宋"/>
          <w:sz w:val="24"/>
          <w:lang w:val="zh-CN"/>
        </w:rPr>
        <w:t>(</w:t>
      </w:r>
      <w:r>
        <w:fldChar w:fldCharType="begin"/>
      </w:r>
      <w:r>
        <w:instrText xml:space="preserve"> HYPERLINK "javascript:;" </w:instrText>
      </w:r>
      <w:r>
        <w:fldChar w:fldCharType="separate"/>
      </w:r>
      <w:r>
        <w:rPr>
          <w:rFonts w:hint="eastAsia" w:eastAsia="仿宋"/>
          <w:sz w:val="24"/>
          <w:lang w:val="zh-CN"/>
        </w:rPr>
        <w:t>Daubenmire，1966</w:t>
      </w:r>
      <w:r>
        <w:rPr>
          <w:rFonts w:hint="eastAsia" w:eastAsia="仿宋"/>
          <w:sz w:val="24"/>
          <w:lang w:val="zh-CN"/>
        </w:rPr>
        <w:fldChar w:fldCharType="end"/>
      </w:r>
      <w:r>
        <w:rPr>
          <w:rFonts w:hint="eastAsia" w:eastAsia="仿宋"/>
          <w:sz w:val="24"/>
          <w:lang w:val="zh-CN"/>
        </w:rPr>
        <w:t>；</w:t>
      </w:r>
      <w:r>
        <w:fldChar w:fldCharType="begin"/>
      </w:r>
      <w:r>
        <w:instrText xml:space="preserve"> HYPERLINK "javascript:;" </w:instrText>
      </w:r>
      <w:r>
        <w:fldChar w:fldCharType="separate"/>
      </w:r>
      <w:r>
        <w:rPr>
          <w:rFonts w:hint="eastAsia" w:eastAsia="仿宋"/>
          <w:sz w:val="24"/>
          <w:lang w:val="zh-CN"/>
        </w:rPr>
        <w:t>Whittaker，1978</w:t>
      </w:r>
      <w:r>
        <w:rPr>
          <w:rFonts w:hint="eastAsia" w:eastAsia="仿宋"/>
          <w:sz w:val="24"/>
          <w:lang w:val="zh-CN"/>
        </w:rPr>
        <w:fldChar w:fldCharType="end"/>
      </w:r>
      <w:r>
        <w:rPr>
          <w:rFonts w:hint="eastAsia" w:eastAsia="仿宋"/>
          <w:sz w:val="24"/>
          <w:lang w:val="zh-CN"/>
        </w:rPr>
        <w:t>；</w:t>
      </w:r>
      <w:r>
        <w:fldChar w:fldCharType="begin"/>
      </w:r>
      <w:r>
        <w:instrText xml:space="preserve"> HYPERLINK "javascript:;" </w:instrText>
      </w:r>
      <w:r>
        <w:fldChar w:fldCharType="separate"/>
      </w:r>
      <w:r>
        <w:rPr>
          <w:rFonts w:hint="eastAsia" w:eastAsia="仿宋"/>
          <w:sz w:val="24"/>
          <w:lang w:val="zh-CN"/>
        </w:rPr>
        <w:t>宋永昌，2011</w:t>
      </w:r>
      <w:r>
        <w:rPr>
          <w:rFonts w:hint="eastAsia" w:eastAsia="仿宋"/>
          <w:sz w:val="24"/>
          <w:lang w:val="zh-CN"/>
        </w:rPr>
        <w:fldChar w:fldCharType="end"/>
      </w:r>
      <w:r>
        <w:rPr>
          <w:rFonts w:hint="eastAsia" w:eastAsia="仿宋"/>
          <w:sz w:val="24"/>
          <w:lang w:val="zh-CN"/>
        </w:rPr>
        <w:t>)。在某一地段或空间范围，不同</w:t>
      </w:r>
      <w:r>
        <w:fldChar w:fldCharType="begin"/>
      </w:r>
      <w:r>
        <w:instrText xml:space="preserve"> HYPERLINK "https://www.plant-ecology.com/article/2020/1005-264X/1005-264X-44-2-96.shtml" </w:instrText>
      </w:r>
      <w:r>
        <w:fldChar w:fldCharType="separate"/>
      </w:r>
      <w:r>
        <w:rPr>
          <w:rFonts w:hint="eastAsia" w:eastAsia="仿宋"/>
          <w:sz w:val="24"/>
          <w:lang w:val="zh-CN"/>
        </w:rPr>
        <w:t>植物</w:t>
      </w:r>
      <w:r>
        <w:rPr>
          <w:rFonts w:hint="eastAsia" w:eastAsia="仿宋"/>
          <w:sz w:val="24"/>
          <w:lang w:val="zh-CN"/>
        </w:rPr>
        <w:fldChar w:fldCharType="end"/>
      </w:r>
      <w:r>
        <w:fldChar w:fldCharType="begin"/>
      </w:r>
      <w:r>
        <w:instrText xml:space="preserve"> HYPERLINK "https://www.plant-ecology.com/article/2020/1005-264X/1005-264X-44-2-96.shtml" </w:instrText>
      </w:r>
      <w:r>
        <w:fldChar w:fldCharType="separate"/>
      </w:r>
      <w:r>
        <w:rPr>
          <w:rFonts w:hint="eastAsia" w:eastAsia="仿宋"/>
          <w:sz w:val="24"/>
          <w:lang w:val="zh-CN"/>
        </w:rPr>
        <w:t>群落</w:t>
      </w:r>
      <w:r>
        <w:rPr>
          <w:rFonts w:hint="eastAsia" w:eastAsia="仿宋"/>
          <w:sz w:val="24"/>
          <w:lang w:val="zh-CN"/>
        </w:rPr>
        <w:fldChar w:fldCharType="end"/>
      </w:r>
      <w:r>
        <w:rPr>
          <w:rFonts w:hint="eastAsia" w:eastAsia="仿宋"/>
          <w:sz w:val="24"/>
          <w:lang w:val="zh-CN"/>
        </w:rPr>
        <w:t>组成该地段的</w:t>
      </w:r>
      <w:r>
        <w:fldChar w:fldCharType="begin"/>
      </w:r>
      <w:r>
        <w:instrText xml:space="preserve"> HYPERLINK "https://www.plant-ecology.com/article/2020/1005-264X/1005-264X-44-2-96.shtml" </w:instrText>
      </w:r>
      <w:r>
        <w:fldChar w:fldCharType="separate"/>
      </w:r>
      <w:r>
        <w:rPr>
          <w:rFonts w:hint="eastAsia" w:eastAsia="仿宋"/>
          <w:sz w:val="24"/>
          <w:lang w:val="zh-CN"/>
        </w:rPr>
        <w:t>植被</w:t>
      </w:r>
      <w:r>
        <w:rPr>
          <w:rFonts w:hint="eastAsia" w:eastAsia="仿宋"/>
          <w:sz w:val="24"/>
          <w:lang w:val="zh-CN"/>
        </w:rPr>
        <w:fldChar w:fldCharType="end"/>
      </w:r>
      <w:r>
        <w:rPr>
          <w:rFonts w:hint="eastAsia" w:eastAsia="仿宋"/>
          <w:sz w:val="24"/>
          <w:lang w:val="zh-CN"/>
        </w:rPr>
        <w:t>，</w:t>
      </w:r>
      <w:r>
        <w:rPr>
          <w:rFonts w:hint="eastAsia" w:eastAsia="仿宋"/>
          <w:sz w:val="24"/>
        </w:rPr>
        <w:t>即</w:t>
      </w:r>
      <w:r>
        <w:fldChar w:fldCharType="begin"/>
      </w:r>
      <w:r>
        <w:instrText xml:space="preserve"> HYPERLINK "https://www.plant-ecology.com/article/2020/1005-264X/1005-264X-44-2-96.shtml" </w:instrText>
      </w:r>
      <w:r>
        <w:fldChar w:fldCharType="separate"/>
      </w:r>
      <w:r>
        <w:rPr>
          <w:rFonts w:hint="eastAsia" w:eastAsia="仿宋"/>
          <w:sz w:val="24"/>
          <w:lang w:val="zh-CN"/>
        </w:rPr>
        <w:t>植被</w:t>
      </w:r>
      <w:r>
        <w:rPr>
          <w:rFonts w:hint="eastAsia" w:eastAsia="仿宋"/>
          <w:sz w:val="24"/>
          <w:lang w:val="zh-CN"/>
        </w:rPr>
        <w:fldChar w:fldCharType="end"/>
      </w:r>
      <w:r>
        <w:rPr>
          <w:rFonts w:hint="eastAsia" w:eastAsia="仿宋"/>
          <w:sz w:val="24"/>
          <w:lang w:val="zh-CN"/>
        </w:rPr>
        <w:t>是某一地段内所有</w:t>
      </w:r>
      <w:r>
        <w:fldChar w:fldCharType="begin"/>
      </w:r>
      <w:r>
        <w:instrText xml:space="preserve"> HYPERLINK "https://www.plant-ecology.com/article/2020/1005-264X/1005-264X-44-2-96.shtml" </w:instrText>
      </w:r>
      <w:r>
        <w:fldChar w:fldCharType="separate"/>
      </w:r>
      <w:r>
        <w:rPr>
          <w:rFonts w:hint="eastAsia" w:eastAsia="仿宋"/>
          <w:sz w:val="24"/>
          <w:lang w:val="zh-CN"/>
        </w:rPr>
        <w:t>植物</w:t>
      </w:r>
      <w:r>
        <w:rPr>
          <w:rFonts w:hint="eastAsia" w:eastAsia="仿宋"/>
          <w:sz w:val="24"/>
          <w:lang w:val="zh-CN"/>
        </w:rPr>
        <w:fldChar w:fldCharType="end"/>
      </w:r>
      <w:r>
        <w:fldChar w:fldCharType="begin"/>
      </w:r>
      <w:r>
        <w:instrText xml:space="preserve"> HYPERLINK "https://www.plant-ecology.com/article/2020/1005-264X/1005-264X-44-2-96.shtml" </w:instrText>
      </w:r>
      <w:r>
        <w:fldChar w:fldCharType="separate"/>
      </w:r>
      <w:r>
        <w:rPr>
          <w:rFonts w:hint="eastAsia" w:eastAsia="仿宋"/>
          <w:sz w:val="24"/>
          <w:lang w:val="zh-CN"/>
        </w:rPr>
        <w:t>群落</w:t>
      </w:r>
      <w:r>
        <w:rPr>
          <w:rFonts w:hint="eastAsia" w:eastAsia="仿宋"/>
          <w:sz w:val="24"/>
          <w:lang w:val="zh-CN"/>
        </w:rPr>
        <w:fldChar w:fldCharType="end"/>
      </w:r>
      <w:r>
        <w:rPr>
          <w:rFonts w:hint="eastAsia" w:eastAsia="仿宋"/>
          <w:sz w:val="24"/>
          <w:lang w:val="zh-CN"/>
        </w:rPr>
        <w:t>的集合（</w:t>
      </w:r>
      <w:r>
        <w:rPr>
          <w:rFonts w:hint="eastAsia" w:eastAsia="仿宋"/>
          <w:sz w:val="24"/>
        </w:rPr>
        <w:t>方精云等，2020</w:t>
      </w:r>
      <w:r>
        <w:rPr>
          <w:rFonts w:hint="eastAsia" w:eastAsia="仿宋"/>
          <w:sz w:val="24"/>
          <w:lang w:val="zh-CN"/>
        </w:rPr>
        <w:t>）。</w:t>
      </w:r>
      <w:r>
        <w:rPr>
          <w:rFonts w:hint="eastAsia" w:eastAsia="仿宋"/>
          <w:sz w:val="24"/>
        </w:rPr>
        <w:t>本标准将</w:t>
      </w:r>
      <w:r>
        <w:fldChar w:fldCharType="begin"/>
      </w:r>
      <w:r>
        <w:instrText xml:space="preserve"> HYPERLINK "https://www.plant-ecology.com/article/2020/1005-264X/1005-264X-44-2-96.shtml" </w:instrText>
      </w:r>
      <w:r>
        <w:fldChar w:fldCharType="separate"/>
      </w:r>
      <w:r>
        <w:rPr>
          <w:rFonts w:hint="eastAsia" w:eastAsia="仿宋"/>
          <w:sz w:val="24"/>
          <w:lang w:val="zh-CN"/>
        </w:rPr>
        <w:t>植被</w:t>
      </w:r>
      <w:r>
        <w:rPr>
          <w:rFonts w:hint="eastAsia" w:eastAsia="仿宋"/>
          <w:sz w:val="24"/>
          <w:lang w:val="zh-CN"/>
        </w:rPr>
        <w:fldChar w:fldCharType="end"/>
      </w:r>
      <w:r>
        <w:rPr>
          <w:rFonts w:hint="eastAsia" w:eastAsia="仿宋"/>
          <w:sz w:val="24"/>
        </w:rPr>
        <w:t>定义为</w:t>
      </w:r>
      <w:r>
        <w:rPr>
          <w:rFonts w:hint="eastAsia" w:eastAsia="仿宋"/>
          <w:sz w:val="24"/>
          <w:lang w:val="zh-CN"/>
        </w:rPr>
        <w:t>覆盖在某个地区地面上、具有一定密度的各种植物的总和。</w:t>
      </w:r>
    </w:p>
    <w:p w14:paraId="35073436">
      <w:pPr>
        <w:pStyle w:val="4"/>
        <w:numPr>
          <w:ilvl w:val="0"/>
          <w:numId w:val="4"/>
        </w:numPr>
        <w:ind w:firstLine="482" w:firstLineChars="200"/>
        <w:rPr>
          <w:rFonts w:eastAsia="仿宋"/>
          <w:lang w:val="zh-CN"/>
        </w:rPr>
      </w:pPr>
      <w:r>
        <w:rPr>
          <w:rFonts w:hint="eastAsia"/>
        </w:rPr>
        <w:t>滨海淤泥质滩涂水鸟高潮位栖息地保护修复总体流程</w:t>
      </w:r>
    </w:p>
    <w:p w14:paraId="706ACB30">
      <w:pPr>
        <w:spacing w:line="360" w:lineRule="auto"/>
        <w:ind w:firstLine="480" w:firstLineChars="200"/>
        <w:rPr>
          <w:rFonts w:eastAsia="仿宋"/>
          <w:sz w:val="24"/>
        </w:rPr>
      </w:pPr>
      <w:r>
        <w:rPr>
          <w:rFonts w:hint="eastAsia" w:eastAsia="仿宋"/>
          <w:sz w:val="24"/>
        </w:rPr>
        <w:t>滨海淤泥质滩涂水鸟高潮位栖息地保护修复总体工作流程分为资料分析、方案制定、高潮位栖息地保护修复区域的选择、高潮位栖息地不同生境类型的构建、高潮位栖息地建设要求、高潮位栖息地的监测与管理六个阶段。</w:t>
      </w:r>
    </w:p>
    <w:p w14:paraId="4C01ECE5">
      <w:pPr>
        <w:pStyle w:val="4"/>
        <w:ind w:firstLine="482" w:firstLineChars="200"/>
      </w:pPr>
      <w:bookmarkStart w:id="42" w:name="_Toc118217829"/>
      <w:r>
        <w:t>4</w:t>
      </w:r>
      <w:bookmarkStart w:id="43" w:name="_Toc28210"/>
      <w:bookmarkStart w:id="44" w:name="_Toc28256"/>
      <w:r>
        <w:rPr>
          <w:rFonts w:hint="eastAsia"/>
        </w:rPr>
        <w:t>、滨海淤泥质滩涂水鸟高潮位栖息地保护修复</w:t>
      </w:r>
      <w:r>
        <w:t>工作内容与关键技术</w:t>
      </w:r>
      <w:bookmarkEnd w:id="42"/>
      <w:bookmarkEnd w:id="43"/>
      <w:bookmarkEnd w:id="44"/>
    </w:p>
    <w:p w14:paraId="00E9DBCC">
      <w:pPr>
        <w:pStyle w:val="5"/>
        <w:ind w:firstLine="482" w:firstLineChars="200"/>
        <w:rPr>
          <w:rFonts w:ascii="Times New Roman" w:hAnsi="Times New Roman" w:eastAsia="楷体_GB2312"/>
        </w:rPr>
      </w:pPr>
      <w:r>
        <w:rPr>
          <w:rFonts w:ascii="Times New Roman" w:hAnsi="Times New Roman" w:eastAsia="楷体_GB2312"/>
        </w:rPr>
        <w:t xml:space="preserve">4.1 </w:t>
      </w:r>
      <w:r>
        <w:rPr>
          <w:rFonts w:hint="eastAsia" w:ascii="Times New Roman" w:hAnsi="Times New Roman" w:eastAsia="楷体_GB2312"/>
        </w:rPr>
        <w:t>资料分析</w:t>
      </w:r>
    </w:p>
    <w:p w14:paraId="26A1C2FB">
      <w:pPr>
        <w:spacing w:line="360" w:lineRule="auto"/>
        <w:ind w:firstLine="480" w:firstLineChars="200"/>
        <w:rPr>
          <w:rFonts w:eastAsia="仿宋"/>
          <w:sz w:val="24"/>
        </w:rPr>
      </w:pPr>
      <w:r>
        <w:rPr>
          <w:rFonts w:hint="eastAsia" w:eastAsia="仿宋"/>
          <w:sz w:val="24"/>
        </w:rPr>
        <w:t>资料收集与分析是滨海淤泥质滩涂水鸟高潮位栖息地保护修复工作的重要基础。资料收集内容包括自然环境、水鸟种群、土地归属、干扰威胁、社会经济和各类规划区划资料，特别是重要保护水鸟物种及主要水鸟种群在当地的分布与迁移规律等信息，繁殖、育雏、越冬等不同生活史特征。</w:t>
      </w:r>
    </w:p>
    <w:p w14:paraId="26C1CE8F">
      <w:pPr>
        <w:pStyle w:val="5"/>
        <w:ind w:firstLine="482" w:firstLineChars="200"/>
        <w:rPr>
          <w:rFonts w:ascii="Times New Roman" w:hAnsi="Times New Roman" w:eastAsia="楷体_GB2312"/>
        </w:rPr>
      </w:pPr>
      <w:r>
        <w:rPr>
          <w:rFonts w:ascii="Times New Roman" w:hAnsi="Times New Roman" w:eastAsia="楷体_GB2312"/>
        </w:rPr>
        <w:t xml:space="preserve">4.2 </w:t>
      </w:r>
      <w:r>
        <w:rPr>
          <w:rFonts w:hint="eastAsia" w:ascii="Times New Roman" w:hAnsi="Times New Roman" w:eastAsia="楷体_GB2312"/>
        </w:rPr>
        <w:t>方案制定</w:t>
      </w:r>
    </w:p>
    <w:p w14:paraId="741E0BD7">
      <w:pPr>
        <w:spacing w:line="360" w:lineRule="auto"/>
        <w:ind w:firstLine="482" w:firstLineChars="200"/>
        <w:rPr>
          <w:rFonts w:eastAsia="仿宋"/>
          <w:b/>
          <w:sz w:val="24"/>
        </w:rPr>
      </w:pPr>
      <w:r>
        <w:rPr>
          <w:rFonts w:eastAsia="仿宋"/>
          <w:b/>
          <w:sz w:val="24"/>
        </w:rPr>
        <w:t>（1）</w:t>
      </w:r>
      <w:r>
        <w:rPr>
          <w:rFonts w:hint="eastAsia" w:eastAsia="仿宋"/>
          <w:b/>
          <w:sz w:val="24"/>
        </w:rPr>
        <w:t>方案编制</w:t>
      </w:r>
    </w:p>
    <w:p w14:paraId="3FB92F07">
      <w:pPr>
        <w:spacing w:line="360" w:lineRule="auto"/>
        <w:ind w:firstLine="480" w:firstLineChars="200"/>
        <w:rPr>
          <w:rFonts w:eastAsia="仿宋"/>
          <w:sz w:val="24"/>
        </w:rPr>
      </w:pPr>
      <w:r>
        <w:rPr>
          <w:rFonts w:hint="eastAsia" w:eastAsia="仿宋"/>
          <w:sz w:val="24"/>
        </w:rPr>
        <w:t>滨海淤泥质滩涂水鸟高潮位栖息地保护修复方案应结合工作区域的实际情况编制，建立协调机制，明确职责分工，明确成果要求、进度安排与经费预算等，循序渐进推进工作。方案应包括高潮位栖息地保护修复区域的选择与边界范围确定、高潮位栖息地不同生境类型的构建、高潮位栖息地建设要求、高潮位栖息地监测、高潮位栖息地管理等主要内容。</w:t>
      </w:r>
    </w:p>
    <w:p w14:paraId="3E4E01C6">
      <w:pPr>
        <w:spacing w:line="360" w:lineRule="auto"/>
        <w:ind w:firstLine="482" w:firstLineChars="200"/>
        <w:rPr>
          <w:rFonts w:eastAsia="仿宋"/>
          <w:b/>
          <w:sz w:val="24"/>
        </w:rPr>
      </w:pPr>
      <w:r>
        <w:rPr>
          <w:rFonts w:eastAsia="仿宋"/>
          <w:b/>
          <w:sz w:val="24"/>
        </w:rPr>
        <w:t>（2）</w:t>
      </w:r>
      <w:r>
        <w:rPr>
          <w:rFonts w:hint="eastAsia" w:eastAsia="仿宋"/>
          <w:b/>
          <w:sz w:val="24"/>
        </w:rPr>
        <w:t>方案论证</w:t>
      </w:r>
    </w:p>
    <w:p w14:paraId="51A6E7CA">
      <w:pPr>
        <w:spacing w:line="360" w:lineRule="auto"/>
        <w:ind w:firstLine="480" w:firstLineChars="200"/>
        <w:rPr>
          <w:rFonts w:eastAsia="仿宋"/>
          <w:sz w:val="24"/>
        </w:rPr>
      </w:pPr>
      <w:r>
        <w:rPr>
          <w:rFonts w:hint="eastAsia" w:eastAsia="仿宋"/>
          <w:sz w:val="24"/>
        </w:rPr>
        <w:t>编制的方案，需要经过专家论证，论证的要点包括高潮位栖息地保护修复区域的选择是否合理？土地归属是否清晰？是否具有科学性、可操作和可行性？高潮位栖息地的建设目标能否达到？方案编制组应根据专家论证意见进行修改和完善。</w:t>
      </w:r>
    </w:p>
    <w:p w14:paraId="0B170894">
      <w:pPr>
        <w:pStyle w:val="5"/>
        <w:ind w:firstLine="482" w:firstLineChars="200"/>
        <w:rPr>
          <w:rFonts w:ascii="Times New Roman" w:hAnsi="Times New Roman" w:eastAsia="楷体_GB2312"/>
        </w:rPr>
      </w:pPr>
      <w:r>
        <w:rPr>
          <w:rFonts w:ascii="Times New Roman" w:hAnsi="Times New Roman" w:eastAsia="楷体_GB2312"/>
        </w:rPr>
        <w:t xml:space="preserve">4.3 </w:t>
      </w:r>
      <w:r>
        <w:rPr>
          <w:rFonts w:hint="eastAsia" w:ascii="Times New Roman" w:hAnsi="Times New Roman" w:eastAsia="楷体_GB2312"/>
        </w:rPr>
        <w:t>高潮位栖息地保护修复区域的选择</w:t>
      </w:r>
    </w:p>
    <w:p w14:paraId="0DB0C13A">
      <w:pPr>
        <w:spacing w:line="360" w:lineRule="auto"/>
        <w:ind w:firstLine="480" w:firstLineChars="200"/>
        <w:rPr>
          <w:rFonts w:eastAsia="仿宋"/>
          <w:sz w:val="24"/>
        </w:rPr>
      </w:pPr>
      <w:r>
        <w:rPr>
          <w:rFonts w:hint="eastAsia" w:eastAsia="仿宋"/>
          <w:sz w:val="24"/>
        </w:rPr>
        <w:t>高潮位栖息地保护修复的位置应在离潮间带滩涂不远的地方。通常就近选择海堤内的稻田、盐田、养殖塘、废弃池及各种洼地，便于水鸟到达和停歇。同时，选择的位置还应该满足取用水的便利性，有利于高潮位栖息地内水位调控。</w:t>
      </w:r>
    </w:p>
    <w:p w14:paraId="50F18F08">
      <w:pPr>
        <w:pStyle w:val="5"/>
        <w:ind w:firstLine="482" w:firstLineChars="200"/>
        <w:rPr>
          <w:rFonts w:ascii="Times New Roman" w:hAnsi="Times New Roman" w:eastAsia="楷体_GB2312"/>
        </w:rPr>
      </w:pPr>
      <w:r>
        <w:rPr>
          <w:rFonts w:hint="eastAsia" w:ascii="Times New Roman" w:hAnsi="Times New Roman" w:eastAsia="楷体_GB2312"/>
        </w:rPr>
        <w:t>4.4 高潮位栖息地不同生境类型的构建</w:t>
      </w:r>
    </w:p>
    <w:p w14:paraId="5E091240">
      <w:pPr>
        <w:spacing w:line="360" w:lineRule="auto"/>
        <w:ind w:firstLine="480" w:firstLineChars="200"/>
        <w:rPr>
          <w:rFonts w:eastAsia="仿宋"/>
          <w:sz w:val="24"/>
        </w:rPr>
      </w:pPr>
      <w:r>
        <w:rPr>
          <w:rFonts w:hint="eastAsia" w:eastAsia="仿宋"/>
          <w:sz w:val="24"/>
        </w:rPr>
        <w:t>单个高潮位栖息地应由光滩、浅水区、深水区三种生境组合而成，但以光滩为主，需预留足够的光滩面积供水鸟休息使用。</w:t>
      </w:r>
    </w:p>
    <w:p w14:paraId="1D0E141E">
      <w:pPr>
        <w:spacing w:line="360" w:lineRule="auto"/>
        <w:ind w:firstLine="480" w:firstLineChars="200"/>
        <w:rPr>
          <w:rFonts w:eastAsia="仿宋"/>
          <w:sz w:val="24"/>
        </w:rPr>
      </w:pPr>
      <w:r>
        <w:rPr>
          <w:rFonts w:hint="eastAsia" w:eastAsia="仿宋"/>
          <w:sz w:val="24"/>
        </w:rPr>
        <w:t>单个高潮位栖息地的面积应不小于30 hm</w:t>
      </w:r>
      <w:r>
        <w:rPr>
          <w:rFonts w:hint="eastAsia" w:eastAsia="仿宋"/>
          <w:sz w:val="24"/>
          <w:vertAlign w:val="superscript"/>
        </w:rPr>
        <w:t>2</w:t>
      </w:r>
      <w:r>
        <w:rPr>
          <w:rFonts w:hint="eastAsia" w:eastAsia="仿宋"/>
          <w:sz w:val="24"/>
        </w:rPr>
        <w:t>，且面积越大越好。可在同一区域内设置多个高潮位栖息地的斑块组合。面积较大的高潮位栖息地可营造适宜面积的岛屿，光滩岛屿作为鸻鹬类休息地，有当地植被的岛屿可作为水鸟繁殖地。</w:t>
      </w:r>
    </w:p>
    <w:p w14:paraId="402687D5">
      <w:pPr>
        <w:jc w:val="center"/>
      </w:pPr>
      <w:r>
        <w:drawing>
          <wp:inline distT="0" distB="0" distL="0" distR="0">
            <wp:extent cx="3957320" cy="2524125"/>
            <wp:effectExtent l="4445" t="5080" r="19685" b="444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135D46B">
      <w:pPr>
        <w:spacing w:after="156" w:afterLines="50"/>
        <w:jc w:val="center"/>
        <w:rPr>
          <w:rFonts w:eastAsia="仿宋"/>
          <w:b/>
          <w:bCs/>
          <w:sz w:val="24"/>
        </w:rPr>
      </w:pPr>
      <w:r>
        <w:rPr>
          <w:rFonts w:hint="eastAsia" w:eastAsia="仿宋"/>
          <w:b/>
          <w:bCs/>
          <w:sz w:val="24"/>
        </w:rPr>
        <w:t>图1 不同水鸟类群对水深的需求</w:t>
      </w:r>
    </w:p>
    <w:p w14:paraId="2922BEC6">
      <w:pPr>
        <w:spacing w:line="360" w:lineRule="auto"/>
        <w:ind w:firstLine="482" w:firstLineChars="200"/>
        <w:rPr>
          <w:rFonts w:eastAsia="仿宋"/>
          <w:b/>
          <w:sz w:val="24"/>
        </w:rPr>
      </w:pPr>
      <w:r>
        <w:rPr>
          <w:rFonts w:eastAsia="仿宋"/>
          <w:b/>
          <w:sz w:val="24"/>
        </w:rPr>
        <w:t>（1）</w:t>
      </w:r>
      <w:r>
        <w:rPr>
          <w:rFonts w:hint="eastAsia" w:eastAsia="仿宋"/>
          <w:b/>
          <w:sz w:val="24"/>
        </w:rPr>
        <w:t>光滩</w:t>
      </w:r>
    </w:p>
    <w:p w14:paraId="34FD8AB9">
      <w:pPr>
        <w:spacing w:line="360" w:lineRule="auto"/>
        <w:ind w:firstLine="480" w:firstLineChars="200"/>
        <w:rPr>
          <w:rFonts w:eastAsia="仿宋"/>
          <w:sz w:val="24"/>
        </w:rPr>
      </w:pPr>
      <w:r>
        <w:rPr>
          <w:rFonts w:hint="eastAsia" w:eastAsia="仿宋"/>
          <w:sz w:val="24"/>
        </w:rPr>
        <w:t>在拟规划成为光滩的区域对较陡的坡岸进行削平处理，削低高地，平整岸坡，对植被进行翻耕掩埋，形成</w:t>
      </w:r>
      <w:r>
        <w:rPr>
          <w:rFonts w:eastAsia="仿宋"/>
          <w:sz w:val="24"/>
        </w:rPr>
        <w:t>坡度＜15°的裸露泥滩、沙滩、碎石滩、具有不规则形状和边缘的缓坡。</w:t>
      </w:r>
      <w:r>
        <w:rPr>
          <w:rFonts w:hint="eastAsia" w:eastAsia="仿宋"/>
          <w:sz w:val="24"/>
        </w:rPr>
        <w:t>光滩主要为小型鸻鹬类提供休息场地。</w:t>
      </w:r>
    </w:p>
    <w:p w14:paraId="7DBF980C">
      <w:pPr>
        <w:spacing w:line="360" w:lineRule="auto"/>
        <w:ind w:firstLine="482" w:firstLineChars="200"/>
        <w:rPr>
          <w:rFonts w:eastAsia="仿宋"/>
          <w:b/>
          <w:sz w:val="24"/>
        </w:rPr>
      </w:pPr>
      <w:r>
        <w:rPr>
          <w:rFonts w:eastAsia="仿宋"/>
          <w:b/>
          <w:sz w:val="24"/>
        </w:rPr>
        <w:t>（</w:t>
      </w:r>
      <w:r>
        <w:rPr>
          <w:rFonts w:hint="eastAsia" w:eastAsia="仿宋"/>
          <w:b/>
          <w:sz w:val="24"/>
        </w:rPr>
        <w:t>2</w:t>
      </w:r>
      <w:r>
        <w:rPr>
          <w:rFonts w:eastAsia="仿宋"/>
          <w:b/>
          <w:sz w:val="24"/>
        </w:rPr>
        <w:t>）</w:t>
      </w:r>
      <w:r>
        <w:rPr>
          <w:rFonts w:hint="eastAsia" w:eastAsia="仿宋"/>
          <w:b/>
          <w:sz w:val="24"/>
        </w:rPr>
        <w:t>浅水区</w:t>
      </w:r>
    </w:p>
    <w:p w14:paraId="3A38F115">
      <w:pPr>
        <w:spacing w:line="360" w:lineRule="auto"/>
        <w:ind w:firstLine="480" w:firstLineChars="200"/>
        <w:rPr>
          <w:rFonts w:eastAsia="仿宋"/>
          <w:sz w:val="24"/>
        </w:rPr>
      </w:pPr>
      <w:r>
        <w:rPr>
          <w:rFonts w:hint="eastAsia" w:eastAsia="仿宋"/>
          <w:sz w:val="24"/>
        </w:rPr>
        <w:t>对周围地势过高区域，通过削低过高地形、填土降低水深等方式塑造浅滩地形，营造适宜水鸟栖息的开阔环境。浅水区沿光滩缓坡延伸，被水淹没形成，设计水深为0 cm-60 cm。浅水区可为中大型鸻鹬类提供休息觅食地，浅水区边缘也可作为小型鸻鹬类的觅食地。</w:t>
      </w:r>
    </w:p>
    <w:p w14:paraId="35857BAF">
      <w:pPr>
        <w:spacing w:line="360" w:lineRule="auto"/>
        <w:ind w:firstLine="482" w:firstLineChars="200"/>
        <w:rPr>
          <w:rFonts w:eastAsia="仿宋"/>
          <w:b/>
          <w:sz w:val="24"/>
        </w:rPr>
      </w:pPr>
      <w:r>
        <w:rPr>
          <w:rFonts w:eastAsia="仿宋"/>
          <w:b/>
          <w:sz w:val="24"/>
        </w:rPr>
        <w:t>（</w:t>
      </w:r>
      <w:r>
        <w:rPr>
          <w:rFonts w:hint="eastAsia" w:eastAsia="仿宋"/>
          <w:b/>
          <w:sz w:val="24"/>
        </w:rPr>
        <w:t>3</w:t>
      </w:r>
      <w:r>
        <w:rPr>
          <w:rFonts w:eastAsia="仿宋"/>
          <w:b/>
          <w:sz w:val="24"/>
        </w:rPr>
        <w:t>）</w:t>
      </w:r>
      <w:r>
        <w:rPr>
          <w:rFonts w:hint="eastAsia" w:eastAsia="仿宋"/>
          <w:b/>
          <w:sz w:val="24"/>
        </w:rPr>
        <w:t>深水区</w:t>
      </w:r>
    </w:p>
    <w:p w14:paraId="5CE6C63C">
      <w:pPr>
        <w:spacing w:line="360" w:lineRule="auto"/>
        <w:ind w:firstLine="480" w:firstLineChars="200"/>
        <w:rPr>
          <w:rFonts w:eastAsia="仿宋"/>
          <w:sz w:val="24"/>
        </w:rPr>
      </w:pPr>
      <w:r>
        <w:rPr>
          <w:rFonts w:hint="eastAsia" w:eastAsia="仿宋"/>
          <w:sz w:val="24"/>
        </w:rPr>
        <w:t>高潮位栖息地浅水区外围需要保留或营造一定面积的深水区，保证其底层水体在冬季不会结冰，为鱼类休息、幼鱼成长及隐匿提供庇护场所以及湿地水生动物越冬场所。深水区可满足游禽栖息和觅食需求。营造深水区以凹形地形恢复为主，深挖基底形成深水区，深度应保证最冷月份底层水体不结冰，并预留</w:t>
      </w:r>
      <w:r>
        <w:rPr>
          <w:rFonts w:eastAsia="仿宋"/>
          <w:sz w:val="24"/>
        </w:rPr>
        <w:t>0.5</w:t>
      </w:r>
      <w:r>
        <w:rPr>
          <w:rFonts w:hint="eastAsia" w:eastAsia="仿宋"/>
          <w:sz w:val="24"/>
        </w:rPr>
        <w:t xml:space="preserve"> </w:t>
      </w:r>
      <w:r>
        <w:rPr>
          <w:rFonts w:eastAsia="仿宋"/>
          <w:sz w:val="24"/>
        </w:rPr>
        <w:t>m</w:t>
      </w:r>
      <w:r>
        <w:rPr>
          <w:rFonts w:hint="eastAsia" w:eastAsia="仿宋"/>
          <w:sz w:val="24"/>
        </w:rPr>
        <w:t>深的流动水体（马广仁， 2017），通常在高潮位栖息地内沿堤坝内侧形成一圈深水区。</w:t>
      </w:r>
    </w:p>
    <w:p w14:paraId="1C4FC796">
      <w:pPr>
        <w:pStyle w:val="5"/>
        <w:ind w:firstLine="482" w:firstLineChars="200"/>
        <w:rPr>
          <w:rFonts w:ascii="Times New Roman" w:hAnsi="Times New Roman" w:eastAsia="楷体_GB2312"/>
        </w:rPr>
      </w:pPr>
      <w:r>
        <w:rPr>
          <w:rFonts w:hint="eastAsia" w:ascii="Times New Roman" w:hAnsi="Times New Roman" w:eastAsia="楷体_GB2312"/>
        </w:rPr>
        <w:t>4.5 高潮位栖息地高潮位栖息地建设要求</w:t>
      </w:r>
    </w:p>
    <w:p w14:paraId="3BA88C86">
      <w:pPr>
        <w:spacing w:line="360" w:lineRule="auto"/>
        <w:ind w:firstLine="480"/>
        <w:rPr>
          <w:rFonts w:eastAsia="仿宋"/>
          <w:sz w:val="24"/>
        </w:rPr>
      </w:pPr>
      <w:r>
        <w:rPr>
          <w:rFonts w:eastAsia="仿宋"/>
          <w:b/>
          <w:sz w:val="24"/>
        </w:rPr>
        <w:t>（1）</w:t>
      </w:r>
      <w:r>
        <w:rPr>
          <w:rFonts w:hint="eastAsia" w:eastAsia="仿宋"/>
          <w:b/>
          <w:sz w:val="24"/>
        </w:rPr>
        <w:t>水位</w:t>
      </w:r>
    </w:p>
    <w:p w14:paraId="4C23D203">
      <w:pPr>
        <w:spacing w:line="360" w:lineRule="auto"/>
        <w:ind w:firstLine="480" w:firstLineChars="200"/>
        <w:rPr>
          <w:rFonts w:eastAsia="仿宋"/>
          <w:sz w:val="24"/>
        </w:rPr>
      </w:pPr>
      <w:r>
        <w:rPr>
          <w:rFonts w:hint="eastAsia" w:eastAsia="仿宋"/>
          <w:sz w:val="24"/>
        </w:rPr>
        <w:t>水位调控应在水深0 cm-60 cm范围内主要通过人为调控的方式来完成。</w:t>
      </w:r>
    </w:p>
    <w:p w14:paraId="153C950F">
      <w:pPr>
        <w:spacing w:line="360" w:lineRule="auto"/>
        <w:ind w:firstLine="480" w:firstLineChars="200"/>
        <w:rPr>
          <w:rFonts w:eastAsia="仿宋"/>
          <w:sz w:val="24"/>
        </w:rPr>
      </w:pPr>
      <w:r>
        <w:rPr>
          <w:rFonts w:hint="eastAsia" w:eastAsia="仿宋"/>
          <w:sz w:val="24"/>
        </w:rPr>
        <w:t>高潮位栖息地内应安装水位标尺或水位记录仪，结合降水量、蒸发量以及水鸟迁徙的时空动态特征，实现水位的准确调节。</w:t>
      </w:r>
    </w:p>
    <w:p w14:paraId="502F1D5E">
      <w:pPr>
        <w:spacing w:line="360" w:lineRule="auto"/>
        <w:ind w:firstLine="480" w:firstLineChars="200"/>
        <w:rPr>
          <w:rFonts w:eastAsia="仿宋"/>
          <w:sz w:val="24"/>
        </w:rPr>
      </w:pPr>
      <w:r>
        <w:rPr>
          <w:rFonts w:hint="eastAsia" w:eastAsia="仿宋"/>
          <w:sz w:val="24"/>
        </w:rPr>
        <w:t>水位的高低与候鸟迁徙的时间高度相关，取决于某时间段内利用高潮位栖息地的主要水鸟类群。</w:t>
      </w:r>
    </w:p>
    <w:p w14:paraId="3A866C7A">
      <w:pPr>
        <w:spacing w:line="360" w:lineRule="auto"/>
        <w:ind w:firstLine="480"/>
        <w:rPr>
          <w:rFonts w:eastAsia="仿宋"/>
          <w:b/>
          <w:sz w:val="24"/>
        </w:rPr>
      </w:pPr>
      <w:r>
        <w:rPr>
          <w:rFonts w:hint="eastAsia" w:eastAsia="仿宋"/>
          <w:b/>
          <w:sz w:val="24"/>
        </w:rPr>
        <w:t>（</w:t>
      </w:r>
      <w:r>
        <w:rPr>
          <w:rFonts w:eastAsia="仿宋"/>
          <w:b/>
          <w:sz w:val="24"/>
        </w:rPr>
        <w:t>2</w:t>
      </w:r>
      <w:r>
        <w:rPr>
          <w:rFonts w:hint="eastAsia" w:eastAsia="仿宋"/>
          <w:b/>
          <w:sz w:val="24"/>
        </w:rPr>
        <w:t>）水质</w:t>
      </w:r>
    </w:p>
    <w:p w14:paraId="51FC492E">
      <w:pPr>
        <w:spacing w:line="360" w:lineRule="auto"/>
        <w:ind w:firstLine="480" w:firstLineChars="200"/>
        <w:rPr>
          <w:rFonts w:eastAsia="仿宋"/>
          <w:sz w:val="24"/>
        </w:rPr>
      </w:pPr>
      <w:r>
        <w:rPr>
          <w:rFonts w:hint="eastAsia" w:eastAsia="仿宋"/>
          <w:sz w:val="24"/>
        </w:rPr>
        <w:t>在高潮位栖息地内应当开展辅助性的水质监测活动，其内水质应至少达到《GB 3838 地表水环境质量标准》规定的III类标准；也可以在低潮位或非迁徙季等水鸟不会大量利用高潮位栖息地的时间，对其中的水体进行整体置换。</w:t>
      </w:r>
    </w:p>
    <w:p w14:paraId="569040C7">
      <w:pPr>
        <w:spacing w:line="360" w:lineRule="auto"/>
        <w:ind w:firstLine="480" w:firstLineChars="200"/>
        <w:rPr>
          <w:rFonts w:eastAsia="仿宋"/>
          <w:sz w:val="24"/>
        </w:rPr>
      </w:pPr>
      <w:r>
        <w:rPr>
          <w:rFonts w:hint="eastAsia" w:eastAsia="仿宋"/>
          <w:sz w:val="24"/>
        </w:rPr>
        <w:t>外源水体进入高潮位栖息地时也应达到以上标准，否则进行前置处理。</w:t>
      </w:r>
    </w:p>
    <w:p w14:paraId="7711EEAD">
      <w:pPr>
        <w:spacing w:line="360" w:lineRule="auto"/>
        <w:ind w:firstLine="480"/>
        <w:rPr>
          <w:rFonts w:eastAsia="仿宋"/>
          <w:b/>
          <w:sz w:val="24"/>
        </w:rPr>
      </w:pPr>
      <w:r>
        <w:rPr>
          <w:rFonts w:hint="eastAsia" w:eastAsia="仿宋"/>
          <w:b/>
          <w:sz w:val="24"/>
        </w:rPr>
        <w:t>（3）植被</w:t>
      </w:r>
    </w:p>
    <w:p w14:paraId="05FE61A1">
      <w:pPr>
        <w:spacing w:line="360" w:lineRule="auto"/>
        <w:ind w:firstLine="480" w:firstLineChars="200"/>
        <w:rPr>
          <w:rFonts w:eastAsia="仿宋"/>
          <w:sz w:val="24"/>
        </w:rPr>
      </w:pPr>
      <w:r>
        <w:rPr>
          <w:rFonts w:hint="eastAsia" w:eastAsia="仿宋"/>
          <w:sz w:val="24"/>
        </w:rPr>
        <w:t>高潮位栖息地植被覆盖率降低和物种丰富度降低时，应进行植被修复。污染物净化功能较强的水生植物应适当搭配其它水生植物，用于净化水体。对高潮位栖息地植被大量死亡，可能发生沼泽化、造成内源性污染的情况，高潮位栖息地植被管理工作应及时跟进。</w:t>
      </w:r>
    </w:p>
    <w:p w14:paraId="0AF41DDB">
      <w:pPr>
        <w:spacing w:line="360" w:lineRule="auto"/>
        <w:ind w:firstLine="480" w:firstLineChars="200"/>
        <w:rPr>
          <w:rFonts w:eastAsia="仿宋"/>
          <w:sz w:val="24"/>
        </w:rPr>
      </w:pPr>
      <w:r>
        <w:rPr>
          <w:rFonts w:hint="eastAsia" w:eastAsia="仿宋"/>
          <w:sz w:val="24"/>
        </w:rPr>
        <w:t>对高潮位栖息地出现的外来植物物种，应采取人工清理等措施，防止其过度生长，危害土著植物品种；对其中繁殖能力强的入侵物种，一经发现应立即清除。对某块高潮位栖息地发生植被过多不再适宜水鸟栖息的情况，应通过机械翻耕、长时间高位水淹等方式清除其中过多的植被。</w:t>
      </w:r>
    </w:p>
    <w:p w14:paraId="522A0F28">
      <w:pPr>
        <w:spacing w:line="360" w:lineRule="auto"/>
        <w:ind w:firstLine="480" w:firstLineChars="200"/>
        <w:rPr>
          <w:rFonts w:eastAsia="仿宋"/>
          <w:sz w:val="24"/>
        </w:rPr>
      </w:pPr>
      <w:r>
        <w:rPr>
          <w:rFonts w:hint="eastAsia" w:eastAsia="仿宋"/>
          <w:sz w:val="24"/>
        </w:rPr>
        <w:t>在某些合适的区域内，应结合水鸟迁徙的时空动态特征，在非迁徙季节采用水淹的方式将高潮位栖息地完全淹没，以阻止栖息地内植被生长。</w:t>
      </w:r>
    </w:p>
    <w:p w14:paraId="32945F01">
      <w:pPr>
        <w:spacing w:line="360" w:lineRule="auto"/>
        <w:ind w:firstLine="480" w:firstLineChars="200"/>
        <w:rPr>
          <w:rFonts w:eastAsia="仿宋"/>
          <w:sz w:val="24"/>
        </w:rPr>
      </w:pPr>
      <w:r>
        <w:rPr>
          <w:rFonts w:hint="eastAsia" w:eastAsia="仿宋"/>
          <w:sz w:val="24"/>
        </w:rPr>
        <w:t>上述植被管理方式可以根据当地水鸟的实际情况组合使用。</w:t>
      </w:r>
    </w:p>
    <w:p w14:paraId="010D6B4E">
      <w:pPr>
        <w:spacing w:line="360" w:lineRule="auto"/>
        <w:ind w:firstLine="480"/>
        <w:rPr>
          <w:rFonts w:eastAsia="仿宋"/>
          <w:b/>
          <w:sz w:val="24"/>
        </w:rPr>
      </w:pPr>
      <w:r>
        <w:rPr>
          <w:rFonts w:hint="eastAsia" w:eastAsia="仿宋"/>
          <w:b/>
          <w:sz w:val="24"/>
        </w:rPr>
        <w:t>（4）微地形</w:t>
      </w:r>
    </w:p>
    <w:p w14:paraId="7ADA3CD0">
      <w:pPr>
        <w:spacing w:line="360" w:lineRule="auto"/>
        <w:ind w:firstLine="480" w:firstLineChars="200"/>
        <w:rPr>
          <w:rFonts w:eastAsia="仿宋"/>
          <w:sz w:val="24"/>
        </w:rPr>
      </w:pPr>
      <w:r>
        <w:rPr>
          <w:rFonts w:hint="eastAsia" w:eastAsia="仿宋"/>
          <w:sz w:val="24"/>
        </w:rPr>
        <w:t>通过挖深与填高方式，营造出高低起伏、较为平缓、具有不规则形状和边缘的光滩及浅水区（总体坡度＜15°，浅水区周长/浅水区表面积最大化为佳）；深挖基底，在堤坝内侧形成一圈宽2 m-4 m、深2 m的凹形深水区，满足水鸟的栖息和觅食需求，并预留0.5 m深的流动水体，保证其底层水体在冬季不会结冰，为鱼类等湿地水生动物休息、成长及隐匿提供越冬庇护场所。</w:t>
      </w:r>
    </w:p>
    <w:p w14:paraId="215C0195">
      <w:pPr>
        <w:spacing w:line="360" w:lineRule="auto"/>
        <w:ind w:firstLine="480" w:firstLineChars="200"/>
        <w:rPr>
          <w:rFonts w:eastAsia="仿宋"/>
          <w:sz w:val="24"/>
        </w:rPr>
      </w:pPr>
      <w:r>
        <w:rPr>
          <w:rFonts w:hint="eastAsia" w:eastAsia="仿宋"/>
          <w:sz w:val="24"/>
        </w:rPr>
        <w:t>高潮位栖息地的微地形塑造，通常根据3D地形图的变化做出判断后，通过土方工程进行调整来实现。</w:t>
      </w:r>
    </w:p>
    <w:p w14:paraId="61B58678">
      <w:pPr>
        <w:pStyle w:val="5"/>
        <w:ind w:firstLine="482" w:firstLineChars="200"/>
        <w:rPr>
          <w:rFonts w:ascii="Times New Roman" w:hAnsi="Times New Roman" w:eastAsia="楷体_GB2312"/>
        </w:rPr>
      </w:pPr>
      <w:r>
        <w:rPr>
          <w:rFonts w:hint="eastAsia" w:ascii="Times New Roman" w:hAnsi="Times New Roman" w:eastAsia="楷体_GB2312"/>
        </w:rPr>
        <w:t>4.6 高潮位栖息地监测</w:t>
      </w:r>
    </w:p>
    <w:p w14:paraId="0BF4A587">
      <w:pPr>
        <w:spacing w:line="360" w:lineRule="auto"/>
        <w:ind w:firstLine="480" w:firstLineChars="200"/>
        <w:rPr>
          <w:rFonts w:eastAsia="仿宋"/>
          <w:sz w:val="24"/>
        </w:rPr>
      </w:pPr>
      <w:r>
        <w:rPr>
          <w:rFonts w:hint="eastAsia" w:eastAsia="仿宋"/>
          <w:sz w:val="24"/>
        </w:rPr>
        <w:t>监测指标、要求及方法如表1所示。高潮位栖息地的监测工作需长期进行，以便及时发现问题，并及时解决和修正。</w:t>
      </w:r>
    </w:p>
    <w:p w14:paraId="437EF027">
      <w:pPr>
        <w:spacing w:after="156" w:afterLines="50"/>
        <w:jc w:val="center"/>
        <w:rPr>
          <w:rFonts w:ascii="黑体" w:hAnsi="黑体" w:eastAsia="黑体"/>
        </w:rPr>
      </w:pPr>
      <w:r>
        <w:rPr>
          <w:rFonts w:hint="eastAsia" w:eastAsia="仿宋"/>
          <w:b/>
          <w:bCs/>
          <w:sz w:val="24"/>
        </w:rPr>
        <w:t>表1 高潮位栖息地监测指标及要求</w:t>
      </w:r>
    </w:p>
    <w:tbl>
      <w:tblPr>
        <w:tblStyle w:val="12"/>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1134"/>
        <w:gridCol w:w="1134"/>
        <w:gridCol w:w="1134"/>
        <w:gridCol w:w="2835"/>
        <w:gridCol w:w="2126"/>
      </w:tblGrid>
      <w:tr w14:paraId="3B57A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vAlign w:val="center"/>
          </w:tcPr>
          <w:p w14:paraId="77CFE646">
            <w:pPr>
              <w:jc w:val="center"/>
              <w:rPr>
                <w:b/>
                <w:bCs/>
                <w:sz w:val="18"/>
                <w:szCs w:val="18"/>
              </w:rPr>
            </w:pPr>
            <w:r>
              <w:rPr>
                <w:rFonts w:hint="eastAsia"/>
                <w:b/>
                <w:bCs/>
                <w:sz w:val="18"/>
                <w:szCs w:val="18"/>
              </w:rPr>
              <w:t>监测内容</w:t>
            </w:r>
          </w:p>
        </w:tc>
        <w:tc>
          <w:tcPr>
            <w:tcW w:w="1134" w:type="dxa"/>
            <w:vAlign w:val="center"/>
          </w:tcPr>
          <w:p w14:paraId="7DC21106">
            <w:pPr>
              <w:jc w:val="center"/>
              <w:rPr>
                <w:b/>
                <w:bCs/>
                <w:sz w:val="18"/>
                <w:szCs w:val="18"/>
              </w:rPr>
            </w:pPr>
            <w:r>
              <w:rPr>
                <w:rFonts w:hint="eastAsia"/>
                <w:b/>
                <w:bCs/>
                <w:sz w:val="18"/>
                <w:szCs w:val="18"/>
              </w:rPr>
              <w:t>指标类别</w:t>
            </w:r>
          </w:p>
        </w:tc>
        <w:tc>
          <w:tcPr>
            <w:tcW w:w="1134" w:type="dxa"/>
            <w:vAlign w:val="center"/>
          </w:tcPr>
          <w:p w14:paraId="19140E4A">
            <w:pPr>
              <w:jc w:val="center"/>
              <w:rPr>
                <w:b/>
                <w:bCs/>
                <w:sz w:val="18"/>
                <w:szCs w:val="18"/>
              </w:rPr>
            </w:pPr>
            <w:r>
              <w:rPr>
                <w:rFonts w:hint="eastAsia"/>
                <w:b/>
                <w:bCs/>
                <w:sz w:val="18"/>
                <w:szCs w:val="18"/>
              </w:rPr>
              <w:t>监测指标</w:t>
            </w:r>
          </w:p>
        </w:tc>
        <w:tc>
          <w:tcPr>
            <w:tcW w:w="1134" w:type="dxa"/>
            <w:vAlign w:val="center"/>
          </w:tcPr>
          <w:p w14:paraId="3174F125">
            <w:pPr>
              <w:jc w:val="center"/>
              <w:rPr>
                <w:b/>
                <w:bCs/>
                <w:sz w:val="18"/>
                <w:szCs w:val="18"/>
              </w:rPr>
            </w:pPr>
            <w:r>
              <w:rPr>
                <w:rFonts w:hint="eastAsia"/>
                <w:b/>
                <w:bCs/>
                <w:sz w:val="18"/>
                <w:szCs w:val="18"/>
              </w:rPr>
              <w:t>单位</w:t>
            </w:r>
          </w:p>
        </w:tc>
        <w:tc>
          <w:tcPr>
            <w:tcW w:w="2835" w:type="dxa"/>
            <w:vAlign w:val="center"/>
          </w:tcPr>
          <w:p w14:paraId="6E53DE1F">
            <w:pPr>
              <w:jc w:val="center"/>
              <w:rPr>
                <w:b/>
                <w:bCs/>
                <w:sz w:val="18"/>
                <w:szCs w:val="18"/>
              </w:rPr>
            </w:pPr>
            <w:r>
              <w:rPr>
                <w:rFonts w:hint="eastAsia"/>
                <w:b/>
                <w:bCs/>
                <w:sz w:val="18"/>
                <w:szCs w:val="18"/>
              </w:rPr>
              <w:t>监测频度</w:t>
            </w:r>
          </w:p>
        </w:tc>
        <w:tc>
          <w:tcPr>
            <w:tcW w:w="2126" w:type="dxa"/>
            <w:vAlign w:val="center"/>
          </w:tcPr>
          <w:p w14:paraId="227D489E">
            <w:pPr>
              <w:jc w:val="center"/>
              <w:rPr>
                <w:b/>
                <w:bCs/>
                <w:sz w:val="18"/>
                <w:szCs w:val="18"/>
              </w:rPr>
            </w:pPr>
            <w:r>
              <w:rPr>
                <w:rFonts w:hint="eastAsia"/>
                <w:b/>
                <w:bCs/>
                <w:sz w:val="18"/>
                <w:szCs w:val="18"/>
              </w:rPr>
              <w:t>监测方法</w:t>
            </w:r>
            <w:r>
              <w:rPr>
                <w:rFonts w:hint="eastAsia"/>
                <w:b/>
                <w:bCs/>
                <w:sz w:val="18"/>
                <w:szCs w:val="18"/>
                <w:vertAlign w:val="superscript"/>
              </w:rPr>
              <w:t>b</w:t>
            </w:r>
          </w:p>
        </w:tc>
      </w:tr>
      <w:tr w14:paraId="29283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1276" w:type="dxa"/>
            <w:vMerge w:val="restart"/>
            <w:vAlign w:val="center"/>
          </w:tcPr>
          <w:p w14:paraId="2D43D056">
            <w:pPr>
              <w:jc w:val="center"/>
              <w:rPr>
                <w:sz w:val="18"/>
                <w:szCs w:val="18"/>
              </w:rPr>
            </w:pPr>
            <w:r>
              <w:rPr>
                <w:rFonts w:hint="eastAsia"/>
                <w:sz w:val="18"/>
                <w:szCs w:val="18"/>
              </w:rPr>
              <w:t>关键物种</w:t>
            </w:r>
          </w:p>
        </w:tc>
        <w:tc>
          <w:tcPr>
            <w:tcW w:w="1134" w:type="dxa"/>
            <w:vMerge w:val="restart"/>
            <w:vAlign w:val="center"/>
          </w:tcPr>
          <w:p w14:paraId="1D9C2F1D">
            <w:pPr>
              <w:jc w:val="center"/>
              <w:rPr>
                <w:sz w:val="18"/>
                <w:szCs w:val="18"/>
              </w:rPr>
            </w:pPr>
            <w:r>
              <w:rPr>
                <w:rFonts w:hint="eastAsia"/>
                <w:sz w:val="18"/>
                <w:szCs w:val="18"/>
              </w:rPr>
              <w:t>水鸟</w:t>
            </w:r>
          </w:p>
        </w:tc>
        <w:tc>
          <w:tcPr>
            <w:tcW w:w="1134" w:type="dxa"/>
            <w:vAlign w:val="center"/>
          </w:tcPr>
          <w:p w14:paraId="0BC82409">
            <w:pPr>
              <w:jc w:val="center"/>
              <w:rPr>
                <w:sz w:val="18"/>
                <w:szCs w:val="18"/>
              </w:rPr>
            </w:pPr>
            <w:r>
              <w:rPr>
                <w:rFonts w:hint="eastAsia"/>
                <w:sz w:val="18"/>
                <w:szCs w:val="18"/>
              </w:rPr>
              <w:t>种类</w:t>
            </w:r>
          </w:p>
        </w:tc>
        <w:tc>
          <w:tcPr>
            <w:tcW w:w="1134" w:type="dxa"/>
            <w:vAlign w:val="center"/>
          </w:tcPr>
          <w:p w14:paraId="181B1F1A">
            <w:pPr>
              <w:jc w:val="center"/>
              <w:rPr>
                <w:sz w:val="18"/>
                <w:szCs w:val="18"/>
              </w:rPr>
            </w:pPr>
            <w:r>
              <w:rPr>
                <w:rFonts w:hint="eastAsia"/>
                <w:sz w:val="18"/>
                <w:szCs w:val="18"/>
              </w:rPr>
              <w:t>种</w:t>
            </w:r>
          </w:p>
        </w:tc>
        <w:tc>
          <w:tcPr>
            <w:tcW w:w="2835" w:type="dxa"/>
            <w:vMerge w:val="restart"/>
            <w:vAlign w:val="center"/>
          </w:tcPr>
          <w:p w14:paraId="6384D3E7">
            <w:pPr>
              <w:jc w:val="center"/>
              <w:rPr>
                <w:sz w:val="18"/>
                <w:szCs w:val="18"/>
              </w:rPr>
            </w:pPr>
            <w:r>
              <w:rPr>
                <w:rFonts w:hint="eastAsia"/>
                <w:sz w:val="18"/>
                <w:szCs w:val="18"/>
              </w:rPr>
              <w:t>迁徙季节</w:t>
            </w:r>
            <w:r>
              <w:rPr>
                <w:rFonts w:hint="eastAsia"/>
                <w:sz w:val="18"/>
                <w:szCs w:val="18"/>
                <w:vertAlign w:val="superscript"/>
              </w:rPr>
              <w:t>a</w:t>
            </w:r>
            <w:r>
              <w:rPr>
                <w:rFonts w:hint="eastAsia"/>
                <w:sz w:val="18"/>
                <w:szCs w:val="18"/>
              </w:rPr>
              <w:t>，每月两次大潮时进行；非迁徙季节，每月一次</w:t>
            </w:r>
          </w:p>
        </w:tc>
        <w:tc>
          <w:tcPr>
            <w:tcW w:w="2126" w:type="dxa"/>
            <w:vMerge w:val="restart"/>
            <w:vAlign w:val="center"/>
          </w:tcPr>
          <w:p w14:paraId="79C22C3E">
            <w:pPr>
              <w:jc w:val="center"/>
              <w:rPr>
                <w:sz w:val="18"/>
                <w:szCs w:val="18"/>
              </w:rPr>
            </w:pPr>
            <w:r>
              <w:rPr>
                <w:rFonts w:hint="eastAsia"/>
                <w:sz w:val="18"/>
                <w:szCs w:val="18"/>
              </w:rPr>
              <w:t>HJ 710.4</w:t>
            </w:r>
          </w:p>
        </w:tc>
      </w:tr>
      <w:tr w14:paraId="1200E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276" w:type="dxa"/>
            <w:vMerge w:val="continue"/>
            <w:vAlign w:val="center"/>
          </w:tcPr>
          <w:p w14:paraId="063461AB">
            <w:pPr>
              <w:jc w:val="center"/>
              <w:rPr>
                <w:sz w:val="18"/>
                <w:szCs w:val="18"/>
              </w:rPr>
            </w:pPr>
          </w:p>
        </w:tc>
        <w:tc>
          <w:tcPr>
            <w:tcW w:w="1134" w:type="dxa"/>
            <w:vMerge w:val="continue"/>
            <w:vAlign w:val="center"/>
          </w:tcPr>
          <w:p w14:paraId="229389A1">
            <w:pPr>
              <w:jc w:val="center"/>
              <w:rPr>
                <w:sz w:val="18"/>
                <w:szCs w:val="18"/>
              </w:rPr>
            </w:pPr>
          </w:p>
        </w:tc>
        <w:tc>
          <w:tcPr>
            <w:tcW w:w="1134" w:type="dxa"/>
            <w:vAlign w:val="center"/>
          </w:tcPr>
          <w:p w14:paraId="1113BB49">
            <w:pPr>
              <w:jc w:val="center"/>
              <w:rPr>
                <w:sz w:val="18"/>
                <w:szCs w:val="18"/>
              </w:rPr>
            </w:pPr>
            <w:r>
              <w:rPr>
                <w:rFonts w:hint="eastAsia"/>
                <w:sz w:val="18"/>
                <w:szCs w:val="18"/>
              </w:rPr>
              <w:t>数量</w:t>
            </w:r>
          </w:p>
        </w:tc>
        <w:tc>
          <w:tcPr>
            <w:tcW w:w="1134" w:type="dxa"/>
            <w:vAlign w:val="center"/>
          </w:tcPr>
          <w:p w14:paraId="3D04922C">
            <w:pPr>
              <w:jc w:val="center"/>
              <w:rPr>
                <w:sz w:val="18"/>
                <w:szCs w:val="18"/>
              </w:rPr>
            </w:pPr>
            <w:r>
              <w:rPr>
                <w:rFonts w:hint="eastAsia"/>
                <w:sz w:val="18"/>
                <w:szCs w:val="18"/>
              </w:rPr>
              <w:t>只</w:t>
            </w:r>
          </w:p>
        </w:tc>
        <w:tc>
          <w:tcPr>
            <w:tcW w:w="2835" w:type="dxa"/>
            <w:vMerge w:val="continue"/>
            <w:vAlign w:val="center"/>
          </w:tcPr>
          <w:p w14:paraId="736873BA">
            <w:pPr>
              <w:jc w:val="center"/>
              <w:rPr>
                <w:sz w:val="18"/>
                <w:szCs w:val="18"/>
              </w:rPr>
            </w:pPr>
          </w:p>
        </w:tc>
        <w:tc>
          <w:tcPr>
            <w:tcW w:w="2126" w:type="dxa"/>
            <w:vMerge w:val="continue"/>
            <w:vAlign w:val="center"/>
          </w:tcPr>
          <w:p w14:paraId="092CAD4C">
            <w:pPr>
              <w:jc w:val="center"/>
              <w:rPr>
                <w:sz w:val="18"/>
                <w:szCs w:val="18"/>
              </w:rPr>
            </w:pPr>
          </w:p>
        </w:tc>
      </w:tr>
      <w:tr w14:paraId="3263E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vMerge w:val="restart"/>
            <w:vAlign w:val="center"/>
          </w:tcPr>
          <w:p w14:paraId="46B16890">
            <w:pPr>
              <w:jc w:val="center"/>
              <w:rPr>
                <w:sz w:val="18"/>
                <w:szCs w:val="18"/>
              </w:rPr>
            </w:pPr>
            <w:r>
              <w:rPr>
                <w:rFonts w:hint="eastAsia"/>
                <w:sz w:val="18"/>
                <w:szCs w:val="18"/>
              </w:rPr>
              <w:t>高潮位栖息地质量</w:t>
            </w:r>
          </w:p>
        </w:tc>
        <w:tc>
          <w:tcPr>
            <w:tcW w:w="1134" w:type="dxa"/>
            <w:vAlign w:val="center"/>
          </w:tcPr>
          <w:p w14:paraId="1F0542E4">
            <w:pPr>
              <w:jc w:val="center"/>
              <w:rPr>
                <w:sz w:val="18"/>
                <w:szCs w:val="18"/>
              </w:rPr>
            </w:pPr>
            <w:r>
              <w:rPr>
                <w:rFonts w:hint="eastAsia"/>
                <w:sz w:val="18"/>
                <w:szCs w:val="18"/>
              </w:rPr>
              <w:t>水文</w:t>
            </w:r>
          </w:p>
        </w:tc>
        <w:tc>
          <w:tcPr>
            <w:tcW w:w="1134" w:type="dxa"/>
            <w:vAlign w:val="center"/>
          </w:tcPr>
          <w:p w14:paraId="27E3F1DB">
            <w:pPr>
              <w:jc w:val="center"/>
              <w:rPr>
                <w:sz w:val="18"/>
                <w:szCs w:val="18"/>
              </w:rPr>
            </w:pPr>
            <w:r>
              <w:rPr>
                <w:rFonts w:hint="eastAsia"/>
                <w:sz w:val="18"/>
                <w:szCs w:val="18"/>
              </w:rPr>
              <w:t>水位</w:t>
            </w:r>
          </w:p>
        </w:tc>
        <w:tc>
          <w:tcPr>
            <w:tcW w:w="1134" w:type="dxa"/>
            <w:vAlign w:val="center"/>
          </w:tcPr>
          <w:p w14:paraId="6EC22DE8">
            <w:pPr>
              <w:jc w:val="center"/>
              <w:rPr>
                <w:sz w:val="18"/>
                <w:szCs w:val="18"/>
              </w:rPr>
            </w:pPr>
            <w:r>
              <w:rPr>
                <w:rFonts w:hint="eastAsia"/>
                <w:sz w:val="18"/>
                <w:szCs w:val="18"/>
              </w:rPr>
              <w:t>m</w:t>
            </w:r>
          </w:p>
        </w:tc>
        <w:tc>
          <w:tcPr>
            <w:tcW w:w="2835" w:type="dxa"/>
            <w:vAlign w:val="center"/>
          </w:tcPr>
          <w:p w14:paraId="2A6804D5">
            <w:pPr>
              <w:jc w:val="center"/>
              <w:rPr>
                <w:sz w:val="18"/>
                <w:szCs w:val="18"/>
              </w:rPr>
            </w:pPr>
            <w:r>
              <w:rPr>
                <w:rFonts w:hint="eastAsia"/>
                <w:sz w:val="18"/>
                <w:szCs w:val="18"/>
              </w:rPr>
              <w:t>连续观测</w:t>
            </w:r>
          </w:p>
        </w:tc>
        <w:tc>
          <w:tcPr>
            <w:tcW w:w="2126" w:type="dxa"/>
            <w:vAlign w:val="center"/>
          </w:tcPr>
          <w:p w14:paraId="738E3A6A">
            <w:pPr>
              <w:jc w:val="center"/>
              <w:rPr>
                <w:sz w:val="18"/>
                <w:szCs w:val="18"/>
              </w:rPr>
            </w:pPr>
            <w:r>
              <w:rPr>
                <w:sz w:val="18"/>
                <w:szCs w:val="18"/>
              </w:rPr>
              <w:t>SL 384</w:t>
            </w:r>
          </w:p>
        </w:tc>
      </w:tr>
      <w:tr w14:paraId="4336B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276" w:type="dxa"/>
            <w:vMerge w:val="continue"/>
            <w:vAlign w:val="center"/>
          </w:tcPr>
          <w:p w14:paraId="3DEC703E">
            <w:pPr>
              <w:jc w:val="center"/>
              <w:rPr>
                <w:sz w:val="18"/>
                <w:szCs w:val="18"/>
              </w:rPr>
            </w:pPr>
          </w:p>
        </w:tc>
        <w:tc>
          <w:tcPr>
            <w:tcW w:w="1134" w:type="dxa"/>
            <w:vMerge w:val="restart"/>
            <w:vAlign w:val="center"/>
          </w:tcPr>
          <w:p w14:paraId="329ADCAE">
            <w:pPr>
              <w:jc w:val="center"/>
              <w:rPr>
                <w:sz w:val="18"/>
                <w:szCs w:val="18"/>
              </w:rPr>
            </w:pPr>
            <w:r>
              <w:rPr>
                <w:rFonts w:hint="eastAsia"/>
                <w:sz w:val="18"/>
                <w:szCs w:val="18"/>
              </w:rPr>
              <w:t>水质</w:t>
            </w:r>
          </w:p>
        </w:tc>
        <w:tc>
          <w:tcPr>
            <w:tcW w:w="1134" w:type="dxa"/>
            <w:vAlign w:val="center"/>
          </w:tcPr>
          <w:p w14:paraId="7A10D719">
            <w:pPr>
              <w:jc w:val="center"/>
              <w:rPr>
                <w:sz w:val="18"/>
                <w:szCs w:val="18"/>
              </w:rPr>
            </w:pPr>
            <w:r>
              <w:rPr>
                <w:rFonts w:hint="eastAsia"/>
                <w:sz w:val="18"/>
                <w:szCs w:val="18"/>
              </w:rPr>
              <w:t>总氮</w:t>
            </w:r>
          </w:p>
        </w:tc>
        <w:tc>
          <w:tcPr>
            <w:tcW w:w="1134" w:type="dxa"/>
            <w:vAlign w:val="center"/>
          </w:tcPr>
          <w:p w14:paraId="7318DCC1">
            <w:pPr>
              <w:jc w:val="center"/>
              <w:rPr>
                <w:sz w:val="18"/>
                <w:szCs w:val="18"/>
              </w:rPr>
            </w:pPr>
            <w:r>
              <w:rPr>
                <w:rFonts w:hint="eastAsia"/>
                <w:sz w:val="18"/>
                <w:szCs w:val="18"/>
              </w:rPr>
              <w:t>mg/L</w:t>
            </w:r>
          </w:p>
        </w:tc>
        <w:tc>
          <w:tcPr>
            <w:tcW w:w="2835" w:type="dxa"/>
            <w:vMerge w:val="restart"/>
            <w:vAlign w:val="center"/>
          </w:tcPr>
          <w:p w14:paraId="1BD9CFED">
            <w:pPr>
              <w:jc w:val="center"/>
              <w:rPr>
                <w:sz w:val="18"/>
                <w:szCs w:val="18"/>
              </w:rPr>
            </w:pPr>
            <w:r>
              <w:rPr>
                <w:rFonts w:hint="eastAsia"/>
                <w:sz w:val="18"/>
                <w:szCs w:val="18"/>
              </w:rPr>
              <w:t>每季度一次</w:t>
            </w:r>
          </w:p>
        </w:tc>
        <w:tc>
          <w:tcPr>
            <w:tcW w:w="2126" w:type="dxa"/>
            <w:vMerge w:val="restart"/>
            <w:vAlign w:val="center"/>
          </w:tcPr>
          <w:p w14:paraId="0E0A7BA9">
            <w:pPr>
              <w:jc w:val="center"/>
              <w:rPr>
                <w:sz w:val="18"/>
                <w:szCs w:val="18"/>
              </w:rPr>
            </w:pPr>
            <w:r>
              <w:rPr>
                <w:rFonts w:hint="eastAsia"/>
                <w:sz w:val="18"/>
                <w:szCs w:val="18"/>
              </w:rPr>
              <w:t>G</w:t>
            </w:r>
            <w:r>
              <w:rPr>
                <w:sz w:val="18"/>
                <w:szCs w:val="18"/>
              </w:rPr>
              <w:t>B 3838</w:t>
            </w:r>
          </w:p>
        </w:tc>
      </w:tr>
      <w:tr w14:paraId="1CA7C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1276" w:type="dxa"/>
            <w:vMerge w:val="continue"/>
            <w:vAlign w:val="center"/>
          </w:tcPr>
          <w:p w14:paraId="2614105D">
            <w:pPr>
              <w:jc w:val="center"/>
              <w:rPr>
                <w:sz w:val="18"/>
                <w:szCs w:val="18"/>
              </w:rPr>
            </w:pPr>
          </w:p>
        </w:tc>
        <w:tc>
          <w:tcPr>
            <w:tcW w:w="1134" w:type="dxa"/>
            <w:vMerge w:val="continue"/>
            <w:vAlign w:val="center"/>
          </w:tcPr>
          <w:p w14:paraId="6AC496B3">
            <w:pPr>
              <w:jc w:val="center"/>
              <w:rPr>
                <w:sz w:val="18"/>
                <w:szCs w:val="18"/>
              </w:rPr>
            </w:pPr>
          </w:p>
        </w:tc>
        <w:tc>
          <w:tcPr>
            <w:tcW w:w="1134" w:type="dxa"/>
            <w:vAlign w:val="center"/>
          </w:tcPr>
          <w:p w14:paraId="12D645D8">
            <w:pPr>
              <w:jc w:val="center"/>
              <w:rPr>
                <w:sz w:val="18"/>
                <w:szCs w:val="18"/>
              </w:rPr>
            </w:pPr>
            <w:r>
              <w:rPr>
                <w:rFonts w:hint="eastAsia"/>
                <w:sz w:val="18"/>
                <w:szCs w:val="18"/>
              </w:rPr>
              <w:t>总磷</w:t>
            </w:r>
          </w:p>
        </w:tc>
        <w:tc>
          <w:tcPr>
            <w:tcW w:w="1134" w:type="dxa"/>
            <w:vAlign w:val="center"/>
          </w:tcPr>
          <w:p w14:paraId="414229D7">
            <w:pPr>
              <w:jc w:val="center"/>
              <w:rPr>
                <w:sz w:val="18"/>
                <w:szCs w:val="18"/>
              </w:rPr>
            </w:pPr>
            <w:r>
              <w:rPr>
                <w:rFonts w:hint="eastAsia"/>
                <w:sz w:val="18"/>
                <w:szCs w:val="18"/>
              </w:rPr>
              <w:t>mg/L</w:t>
            </w:r>
          </w:p>
        </w:tc>
        <w:tc>
          <w:tcPr>
            <w:tcW w:w="2835" w:type="dxa"/>
            <w:vMerge w:val="continue"/>
            <w:vAlign w:val="center"/>
          </w:tcPr>
          <w:p w14:paraId="224BE3B1">
            <w:pPr>
              <w:jc w:val="center"/>
              <w:rPr>
                <w:sz w:val="18"/>
                <w:szCs w:val="18"/>
              </w:rPr>
            </w:pPr>
          </w:p>
        </w:tc>
        <w:tc>
          <w:tcPr>
            <w:tcW w:w="2126" w:type="dxa"/>
            <w:vMerge w:val="continue"/>
            <w:vAlign w:val="center"/>
          </w:tcPr>
          <w:p w14:paraId="546AB4D2">
            <w:pPr>
              <w:jc w:val="center"/>
              <w:rPr>
                <w:sz w:val="18"/>
                <w:szCs w:val="18"/>
              </w:rPr>
            </w:pPr>
          </w:p>
        </w:tc>
      </w:tr>
      <w:tr w14:paraId="4CC77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76" w:type="dxa"/>
            <w:vMerge w:val="continue"/>
            <w:vAlign w:val="center"/>
          </w:tcPr>
          <w:p w14:paraId="6C6F9A37">
            <w:pPr>
              <w:jc w:val="center"/>
              <w:rPr>
                <w:sz w:val="18"/>
                <w:szCs w:val="18"/>
              </w:rPr>
            </w:pPr>
          </w:p>
        </w:tc>
        <w:tc>
          <w:tcPr>
            <w:tcW w:w="1134" w:type="dxa"/>
            <w:vMerge w:val="continue"/>
            <w:vAlign w:val="center"/>
          </w:tcPr>
          <w:p w14:paraId="107C1271">
            <w:pPr>
              <w:jc w:val="center"/>
              <w:rPr>
                <w:sz w:val="18"/>
                <w:szCs w:val="18"/>
              </w:rPr>
            </w:pPr>
          </w:p>
        </w:tc>
        <w:tc>
          <w:tcPr>
            <w:tcW w:w="1134" w:type="dxa"/>
            <w:vAlign w:val="center"/>
          </w:tcPr>
          <w:p w14:paraId="02DC203E">
            <w:pPr>
              <w:jc w:val="center"/>
              <w:rPr>
                <w:sz w:val="18"/>
                <w:szCs w:val="18"/>
              </w:rPr>
            </w:pPr>
            <w:r>
              <w:rPr>
                <w:rFonts w:hint="eastAsia"/>
                <w:sz w:val="18"/>
                <w:szCs w:val="18"/>
              </w:rPr>
              <w:t>叶绿素a</w:t>
            </w:r>
          </w:p>
        </w:tc>
        <w:tc>
          <w:tcPr>
            <w:tcW w:w="1134" w:type="dxa"/>
            <w:vAlign w:val="center"/>
          </w:tcPr>
          <w:p w14:paraId="51CD9DEC">
            <w:pPr>
              <w:jc w:val="center"/>
              <w:rPr>
                <w:sz w:val="18"/>
                <w:szCs w:val="18"/>
              </w:rPr>
            </w:pPr>
            <w:r>
              <w:rPr>
                <w:sz w:val="18"/>
                <w:szCs w:val="18"/>
              </w:rPr>
              <w:t>ug/L</w:t>
            </w:r>
          </w:p>
        </w:tc>
        <w:tc>
          <w:tcPr>
            <w:tcW w:w="2835" w:type="dxa"/>
            <w:vMerge w:val="continue"/>
            <w:vAlign w:val="center"/>
          </w:tcPr>
          <w:p w14:paraId="583057CD">
            <w:pPr>
              <w:jc w:val="center"/>
              <w:rPr>
                <w:sz w:val="18"/>
                <w:szCs w:val="18"/>
              </w:rPr>
            </w:pPr>
          </w:p>
        </w:tc>
        <w:tc>
          <w:tcPr>
            <w:tcW w:w="2126" w:type="dxa"/>
            <w:vMerge w:val="continue"/>
            <w:vAlign w:val="center"/>
          </w:tcPr>
          <w:p w14:paraId="51A547FC">
            <w:pPr>
              <w:jc w:val="center"/>
              <w:rPr>
                <w:sz w:val="18"/>
                <w:szCs w:val="18"/>
              </w:rPr>
            </w:pPr>
          </w:p>
        </w:tc>
      </w:tr>
      <w:tr w14:paraId="7727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276" w:type="dxa"/>
            <w:vMerge w:val="continue"/>
            <w:vAlign w:val="center"/>
          </w:tcPr>
          <w:p w14:paraId="1B9471C4">
            <w:pPr>
              <w:jc w:val="center"/>
              <w:rPr>
                <w:sz w:val="18"/>
                <w:szCs w:val="18"/>
              </w:rPr>
            </w:pPr>
          </w:p>
        </w:tc>
        <w:tc>
          <w:tcPr>
            <w:tcW w:w="1134" w:type="dxa"/>
            <w:vMerge w:val="restart"/>
            <w:vAlign w:val="center"/>
          </w:tcPr>
          <w:p w14:paraId="28DD2659">
            <w:pPr>
              <w:jc w:val="center"/>
              <w:rPr>
                <w:sz w:val="18"/>
                <w:szCs w:val="18"/>
              </w:rPr>
            </w:pPr>
            <w:r>
              <w:rPr>
                <w:rFonts w:hint="eastAsia"/>
                <w:sz w:val="18"/>
                <w:szCs w:val="18"/>
              </w:rPr>
              <w:t>植被</w:t>
            </w:r>
          </w:p>
        </w:tc>
        <w:tc>
          <w:tcPr>
            <w:tcW w:w="1134" w:type="dxa"/>
            <w:vAlign w:val="center"/>
          </w:tcPr>
          <w:p w14:paraId="4714FC5F">
            <w:pPr>
              <w:jc w:val="center"/>
              <w:rPr>
                <w:sz w:val="18"/>
                <w:szCs w:val="18"/>
              </w:rPr>
            </w:pPr>
            <w:r>
              <w:rPr>
                <w:rFonts w:hint="eastAsia"/>
                <w:sz w:val="18"/>
                <w:szCs w:val="18"/>
              </w:rPr>
              <w:t>种类</w:t>
            </w:r>
          </w:p>
        </w:tc>
        <w:tc>
          <w:tcPr>
            <w:tcW w:w="1134" w:type="dxa"/>
            <w:vAlign w:val="center"/>
          </w:tcPr>
          <w:p w14:paraId="0B22B2C3">
            <w:pPr>
              <w:jc w:val="center"/>
              <w:rPr>
                <w:sz w:val="18"/>
                <w:szCs w:val="18"/>
              </w:rPr>
            </w:pPr>
            <w:r>
              <w:rPr>
                <w:rFonts w:hint="eastAsia"/>
                <w:sz w:val="18"/>
                <w:szCs w:val="18"/>
              </w:rPr>
              <w:t>种</w:t>
            </w:r>
          </w:p>
        </w:tc>
        <w:tc>
          <w:tcPr>
            <w:tcW w:w="2835" w:type="dxa"/>
            <w:vMerge w:val="restart"/>
            <w:vAlign w:val="center"/>
          </w:tcPr>
          <w:p w14:paraId="4D30AC0B">
            <w:pPr>
              <w:jc w:val="center"/>
              <w:rPr>
                <w:sz w:val="18"/>
                <w:szCs w:val="18"/>
              </w:rPr>
            </w:pPr>
            <w:r>
              <w:rPr>
                <w:rFonts w:hint="eastAsia"/>
                <w:sz w:val="18"/>
                <w:szCs w:val="18"/>
              </w:rPr>
              <w:t>当光滩上出现植被时，启动植被监测工作。植被监测不定期进行。当植被盖度达到3</w:t>
            </w:r>
            <w:r>
              <w:rPr>
                <w:sz w:val="18"/>
                <w:szCs w:val="18"/>
              </w:rPr>
              <w:t>0</w:t>
            </w:r>
            <w:r>
              <w:rPr>
                <w:rFonts w:hint="eastAsia"/>
                <w:sz w:val="18"/>
                <w:szCs w:val="18"/>
              </w:rPr>
              <w:t>%时，应采取清除措施。</w:t>
            </w:r>
          </w:p>
        </w:tc>
        <w:tc>
          <w:tcPr>
            <w:tcW w:w="2126" w:type="dxa"/>
            <w:vMerge w:val="restart"/>
            <w:vAlign w:val="center"/>
          </w:tcPr>
          <w:p w14:paraId="5F450D97">
            <w:pPr>
              <w:jc w:val="center"/>
              <w:rPr>
                <w:sz w:val="18"/>
                <w:szCs w:val="18"/>
              </w:rPr>
            </w:pPr>
            <w:r>
              <w:rPr>
                <w:rFonts w:hint="eastAsia"/>
                <w:sz w:val="18"/>
                <w:szCs w:val="18"/>
              </w:rPr>
              <w:t>HJ 710.1</w:t>
            </w:r>
          </w:p>
        </w:tc>
      </w:tr>
      <w:tr w14:paraId="231CF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1276" w:type="dxa"/>
            <w:vMerge w:val="continue"/>
          </w:tcPr>
          <w:p w14:paraId="3AC54DFC">
            <w:pPr>
              <w:jc w:val="center"/>
              <w:rPr>
                <w:sz w:val="18"/>
                <w:szCs w:val="18"/>
              </w:rPr>
            </w:pPr>
          </w:p>
        </w:tc>
        <w:tc>
          <w:tcPr>
            <w:tcW w:w="1134" w:type="dxa"/>
            <w:vMerge w:val="continue"/>
          </w:tcPr>
          <w:p w14:paraId="3E4D96FC">
            <w:pPr>
              <w:jc w:val="center"/>
              <w:rPr>
                <w:sz w:val="18"/>
                <w:szCs w:val="18"/>
              </w:rPr>
            </w:pPr>
          </w:p>
        </w:tc>
        <w:tc>
          <w:tcPr>
            <w:tcW w:w="1134" w:type="dxa"/>
          </w:tcPr>
          <w:p w14:paraId="41A6249A">
            <w:pPr>
              <w:jc w:val="center"/>
              <w:rPr>
                <w:sz w:val="18"/>
                <w:szCs w:val="18"/>
              </w:rPr>
            </w:pPr>
            <w:r>
              <w:rPr>
                <w:rFonts w:hint="eastAsia"/>
                <w:sz w:val="18"/>
                <w:szCs w:val="18"/>
              </w:rPr>
              <w:t>高度</w:t>
            </w:r>
          </w:p>
        </w:tc>
        <w:tc>
          <w:tcPr>
            <w:tcW w:w="1134" w:type="dxa"/>
          </w:tcPr>
          <w:p w14:paraId="1DD706BB">
            <w:pPr>
              <w:jc w:val="center"/>
              <w:rPr>
                <w:sz w:val="18"/>
                <w:szCs w:val="18"/>
              </w:rPr>
            </w:pPr>
            <w:r>
              <w:rPr>
                <w:rFonts w:hint="eastAsia"/>
                <w:sz w:val="18"/>
                <w:szCs w:val="18"/>
              </w:rPr>
              <w:t>cm</w:t>
            </w:r>
          </w:p>
        </w:tc>
        <w:tc>
          <w:tcPr>
            <w:tcW w:w="2835" w:type="dxa"/>
            <w:vMerge w:val="continue"/>
          </w:tcPr>
          <w:p w14:paraId="5D2A0528">
            <w:pPr>
              <w:jc w:val="center"/>
              <w:rPr>
                <w:sz w:val="18"/>
                <w:szCs w:val="18"/>
              </w:rPr>
            </w:pPr>
          </w:p>
        </w:tc>
        <w:tc>
          <w:tcPr>
            <w:tcW w:w="2126" w:type="dxa"/>
            <w:vMerge w:val="continue"/>
          </w:tcPr>
          <w:p w14:paraId="3014A57A">
            <w:pPr>
              <w:jc w:val="center"/>
              <w:rPr>
                <w:sz w:val="18"/>
                <w:szCs w:val="18"/>
              </w:rPr>
            </w:pPr>
          </w:p>
        </w:tc>
      </w:tr>
      <w:tr w14:paraId="0A19C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1276" w:type="dxa"/>
            <w:vMerge w:val="continue"/>
          </w:tcPr>
          <w:p w14:paraId="29AC2927">
            <w:pPr>
              <w:jc w:val="center"/>
              <w:rPr>
                <w:sz w:val="18"/>
                <w:szCs w:val="18"/>
              </w:rPr>
            </w:pPr>
          </w:p>
        </w:tc>
        <w:tc>
          <w:tcPr>
            <w:tcW w:w="1134" w:type="dxa"/>
            <w:vMerge w:val="continue"/>
          </w:tcPr>
          <w:p w14:paraId="4CB377E9">
            <w:pPr>
              <w:jc w:val="center"/>
              <w:rPr>
                <w:sz w:val="18"/>
                <w:szCs w:val="18"/>
              </w:rPr>
            </w:pPr>
          </w:p>
        </w:tc>
        <w:tc>
          <w:tcPr>
            <w:tcW w:w="1134" w:type="dxa"/>
          </w:tcPr>
          <w:p w14:paraId="1C0C0F12">
            <w:pPr>
              <w:jc w:val="center"/>
              <w:rPr>
                <w:sz w:val="18"/>
                <w:szCs w:val="18"/>
              </w:rPr>
            </w:pPr>
            <w:r>
              <w:rPr>
                <w:rFonts w:hint="eastAsia"/>
                <w:sz w:val="18"/>
                <w:szCs w:val="18"/>
              </w:rPr>
              <w:t>盖度</w:t>
            </w:r>
          </w:p>
        </w:tc>
        <w:tc>
          <w:tcPr>
            <w:tcW w:w="1134" w:type="dxa"/>
          </w:tcPr>
          <w:p w14:paraId="15AAEED2">
            <w:pPr>
              <w:jc w:val="center"/>
              <w:rPr>
                <w:sz w:val="18"/>
                <w:szCs w:val="18"/>
              </w:rPr>
            </w:pPr>
            <w:r>
              <w:rPr>
                <w:rFonts w:hint="eastAsia"/>
                <w:sz w:val="18"/>
                <w:szCs w:val="18"/>
              </w:rPr>
              <w:t>%</w:t>
            </w:r>
          </w:p>
        </w:tc>
        <w:tc>
          <w:tcPr>
            <w:tcW w:w="2835" w:type="dxa"/>
            <w:vMerge w:val="continue"/>
          </w:tcPr>
          <w:p w14:paraId="5998BA7D">
            <w:pPr>
              <w:jc w:val="center"/>
              <w:rPr>
                <w:sz w:val="18"/>
                <w:szCs w:val="18"/>
              </w:rPr>
            </w:pPr>
          </w:p>
        </w:tc>
        <w:tc>
          <w:tcPr>
            <w:tcW w:w="2126" w:type="dxa"/>
            <w:vMerge w:val="continue"/>
          </w:tcPr>
          <w:p w14:paraId="53374332">
            <w:pPr>
              <w:jc w:val="center"/>
              <w:rPr>
                <w:sz w:val="18"/>
                <w:szCs w:val="18"/>
              </w:rPr>
            </w:pPr>
          </w:p>
        </w:tc>
      </w:tr>
      <w:tr w14:paraId="717FE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9639" w:type="dxa"/>
            <w:gridSpan w:val="6"/>
            <w:vAlign w:val="center"/>
          </w:tcPr>
          <w:p w14:paraId="1974E758">
            <w:pPr>
              <w:rPr>
                <w:sz w:val="18"/>
                <w:szCs w:val="18"/>
              </w:rPr>
            </w:pPr>
            <w:r>
              <w:rPr>
                <w:rFonts w:hint="eastAsia"/>
                <w:sz w:val="18"/>
                <w:szCs w:val="18"/>
                <w:vertAlign w:val="superscript"/>
              </w:rPr>
              <w:t>a</w:t>
            </w:r>
            <w:r>
              <w:rPr>
                <w:sz w:val="18"/>
                <w:szCs w:val="18"/>
              </w:rPr>
              <w:t xml:space="preserve"> </w:t>
            </w:r>
            <w:r>
              <w:rPr>
                <w:rFonts w:hint="eastAsia"/>
                <w:sz w:val="18"/>
                <w:szCs w:val="18"/>
              </w:rPr>
              <w:t>不同地区水鸟到达和离开的时间不尽相同，应结合实际情况确定水鸟迁徙的具体时段。</w:t>
            </w:r>
          </w:p>
          <w:p w14:paraId="34DBDB7C">
            <w:pPr>
              <w:rPr>
                <w:sz w:val="18"/>
                <w:szCs w:val="18"/>
              </w:rPr>
            </w:pPr>
            <w:r>
              <w:rPr>
                <w:rFonts w:hint="eastAsia"/>
                <w:sz w:val="18"/>
                <w:szCs w:val="18"/>
                <w:vertAlign w:val="superscript"/>
              </w:rPr>
              <w:t>b</w:t>
            </w:r>
            <w:r>
              <w:rPr>
                <w:sz w:val="18"/>
                <w:szCs w:val="18"/>
                <w:vertAlign w:val="superscript"/>
              </w:rPr>
              <w:t xml:space="preserve"> </w:t>
            </w:r>
            <w:r>
              <w:rPr>
                <w:rFonts w:hint="eastAsia"/>
                <w:sz w:val="18"/>
                <w:szCs w:val="18"/>
              </w:rPr>
              <w:t>若条件允许，可在高潮位栖息地设立视频监控设备，监测水鸟动态、植被长势、人为干扰情况。</w:t>
            </w:r>
          </w:p>
        </w:tc>
      </w:tr>
    </w:tbl>
    <w:p w14:paraId="52BDC75B">
      <w:pPr>
        <w:spacing w:line="360" w:lineRule="auto"/>
        <w:ind w:firstLine="480" w:firstLineChars="200"/>
        <w:rPr>
          <w:rFonts w:eastAsia="仿宋"/>
          <w:sz w:val="24"/>
        </w:rPr>
      </w:pPr>
    </w:p>
    <w:p w14:paraId="5595D72F">
      <w:pPr>
        <w:pStyle w:val="5"/>
        <w:ind w:firstLine="482" w:firstLineChars="200"/>
        <w:rPr>
          <w:rFonts w:ascii="Times New Roman" w:hAnsi="Times New Roman" w:eastAsia="楷体_GB2312"/>
        </w:rPr>
      </w:pPr>
      <w:r>
        <w:rPr>
          <w:rFonts w:hint="eastAsia" w:ascii="Times New Roman" w:hAnsi="Times New Roman" w:eastAsia="楷体_GB2312"/>
        </w:rPr>
        <w:t>4.7 高潮位栖息地管理</w:t>
      </w:r>
    </w:p>
    <w:p w14:paraId="706CF9D7">
      <w:pPr>
        <w:spacing w:line="360" w:lineRule="auto"/>
        <w:ind w:firstLine="480"/>
        <w:rPr>
          <w:rFonts w:eastAsia="仿宋"/>
          <w:b/>
          <w:sz w:val="24"/>
        </w:rPr>
      </w:pPr>
      <w:r>
        <w:rPr>
          <w:rFonts w:hint="eastAsia" w:eastAsia="仿宋"/>
          <w:b/>
          <w:sz w:val="24"/>
        </w:rPr>
        <w:t>（1）维护</w:t>
      </w:r>
    </w:p>
    <w:p w14:paraId="1FB9B028">
      <w:pPr>
        <w:spacing w:line="360" w:lineRule="auto"/>
        <w:ind w:firstLine="480" w:firstLineChars="200"/>
        <w:rPr>
          <w:rFonts w:eastAsia="仿宋"/>
          <w:sz w:val="24"/>
        </w:rPr>
      </w:pPr>
      <w:r>
        <w:rPr>
          <w:rFonts w:hint="eastAsia" w:eastAsia="仿宋"/>
          <w:sz w:val="24"/>
        </w:rPr>
        <w:t>高潮位栖息地维护应依据高潮位栖息地高潮位栖息地建设要求开展。</w:t>
      </w:r>
    </w:p>
    <w:p w14:paraId="31A7BC88">
      <w:pPr>
        <w:spacing w:line="360" w:lineRule="auto"/>
        <w:ind w:firstLine="480"/>
        <w:rPr>
          <w:rFonts w:eastAsia="仿宋"/>
          <w:b/>
          <w:sz w:val="24"/>
        </w:rPr>
      </w:pPr>
      <w:r>
        <w:rPr>
          <w:rFonts w:hint="eastAsia" w:eastAsia="仿宋"/>
          <w:b/>
          <w:sz w:val="24"/>
        </w:rPr>
        <w:t>（2）巡护</w:t>
      </w:r>
    </w:p>
    <w:p w14:paraId="0AF88A9F">
      <w:pPr>
        <w:spacing w:line="360" w:lineRule="auto"/>
        <w:ind w:firstLine="480" w:firstLineChars="200"/>
        <w:rPr>
          <w:rFonts w:eastAsia="仿宋"/>
          <w:sz w:val="24"/>
        </w:rPr>
      </w:pPr>
      <w:r>
        <w:rPr>
          <w:rFonts w:hint="eastAsia" w:eastAsia="仿宋"/>
          <w:sz w:val="24"/>
        </w:rPr>
        <w:t>巡护主要分为日常巡护、稽查巡护、监测巡护等类型。巡护主要有以下要点：</w:t>
      </w:r>
    </w:p>
    <w:p w14:paraId="7BEAA7BC">
      <w:pPr>
        <w:spacing w:line="360" w:lineRule="auto"/>
        <w:ind w:firstLine="480" w:firstLineChars="200"/>
        <w:rPr>
          <w:rFonts w:eastAsia="仿宋"/>
          <w:sz w:val="24"/>
        </w:rPr>
      </w:pPr>
      <w:r>
        <w:rPr>
          <w:rFonts w:hint="eastAsia" w:eastAsia="仿宋"/>
          <w:sz w:val="24"/>
        </w:rPr>
        <w:t>·日常巡护，应定期沿固定路线进行，巡护人员应在二人以上；</w:t>
      </w:r>
    </w:p>
    <w:p w14:paraId="7431DD6A">
      <w:pPr>
        <w:spacing w:line="360" w:lineRule="auto"/>
        <w:ind w:firstLine="480" w:firstLineChars="200"/>
        <w:rPr>
          <w:rFonts w:eastAsia="仿宋"/>
          <w:sz w:val="24"/>
        </w:rPr>
      </w:pPr>
      <w:r>
        <w:rPr>
          <w:rFonts w:hint="eastAsia" w:eastAsia="仿宋"/>
          <w:sz w:val="24"/>
        </w:rPr>
        <w:t>·稽查巡护，应根据获得信息或威胁因子发生的规律和季节性不定期、不定线进行，巡护人员应在四人以上；</w:t>
      </w:r>
    </w:p>
    <w:p w14:paraId="3808311B">
      <w:pPr>
        <w:spacing w:line="360" w:lineRule="auto"/>
        <w:ind w:firstLine="480" w:firstLineChars="200"/>
        <w:rPr>
          <w:rFonts w:eastAsia="仿宋"/>
          <w:sz w:val="24"/>
        </w:rPr>
      </w:pPr>
      <w:r>
        <w:rPr>
          <w:rFonts w:hint="eastAsia" w:eastAsia="仿宋"/>
          <w:sz w:val="24"/>
        </w:rPr>
        <w:t>·监测巡护，应按照一定的时间、地点和规定的数据收集方法，使用专业工具进行，巡护人员应在四人以上。</w:t>
      </w:r>
    </w:p>
    <w:p w14:paraId="2D50AD8E">
      <w:pPr>
        <w:spacing w:line="360" w:lineRule="auto"/>
        <w:ind w:firstLine="480" w:firstLineChars="200"/>
        <w:rPr>
          <w:rFonts w:eastAsia="仿宋"/>
          <w:sz w:val="24"/>
        </w:rPr>
      </w:pPr>
      <w:r>
        <w:rPr>
          <w:rFonts w:hint="eastAsia" w:eastAsia="仿宋"/>
          <w:sz w:val="24"/>
        </w:rPr>
        <w:t xml:space="preserve">进行巡护，应制定巡护计划；在巡护表格和笔记本上或者巡护管理系统中记录所发现的人为活动、威胁等相关情况；整理分析巡护数据，撰写巡护报告，并在规定时间内对巡护记录进行分类归档保存。 </w:t>
      </w:r>
    </w:p>
    <w:p w14:paraId="0B1EE4C6">
      <w:pPr>
        <w:spacing w:line="360" w:lineRule="auto"/>
        <w:ind w:firstLine="480" w:firstLineChars="200"/>
        <w:rPr>
          <w:rFonts w:eastAsia="仿宋"/>
          <w:sz w:val="24"/>
        </w:rPr>
      </w:pPr>
      <w:r>
        <w:rPr>
          <w:rFonts w:hint="eastAsia" w:eastAsia="仿宋"/>
          <w:sz w:val="24"/>
        </w:rPr>
        <w:t>巡护主要有以下内容：</w:t>
      </w:r>
    </w:p>
    <w:p w14:paraId="3B3B3EA5">
      <w:pPr>
        <w:spacing w:line="360" w:lineRule="auto"/>
        <w:ind w:firstLine="480" w:firstLineChars="200"/>
        <w:rPr>
          <w:rFonts w:eastAsia="仿宋"/>
          <w:sz w:val="24"/>
        </w:rPr>
      </w:pPr>
      <w:r>
        <w:rPr>
          <w:rFonts w:hint="eastAsia" w:eastAsia="仿宋"/>
          <w:sz w:val="24"/>
        </w:rPr>
        <w:t>·人为干扰活动管控，高潮位栖息地由于可以便捷地进行鸟类观察和摄影受到广大观鸟爱好者的喜爱，也是最好的科研研究场域之一，同时由于其丰富的生物多样性，也是盗猎高发区域；</w:t>
      </w:r>
    </w:p>
    <w:p w14:paraId="6ADF1B0D">
      <w:pPr>
        <w:spacing w:line="360" w:lineRule="auto"/>
        <w:ind w:firstLine="480" w:firstLineChars="200"/>
        <w:rPr>
          <w:rFonts w:eastAsia="仿宋"/>
          <w:sz w:val="24"/>
        </w:rPr>
      </w:pPr>
      <w:r>
        <w:rPr>
          <w:rFonts w:hint="eastAsia" w:eastAsia="仿宋"/>
          <w:sz w:val="24"/>
        </w:rPr>
        <w:t>·栖息地威胁发现，高潮位栖息地面对的常见威胁有盗猎、污染、外来入侵物种等威胁；</w:t>
      </w:r>
    </w:p>
    <w:p w14:paraId="0C1DBD22">
      <w:pPr>
        <w:spacing w:line="360" w:lineRule="auto"/>
        <w:ind w:firstLine="480" w:firstLineChars="200"/>
        <w:rPr>
          <w:rFonts w:eastAsia="仿宋"/>
          <w:sz w:val="24"/>
        </w:rPr>
      </w:pPr>
      <w:r>
        <w:rPr>
          <w:rFonts w:hint="eastAsia" w:eastAsia="仿宋"/>
          <w:sz w:val="24"/>
        </w:rPr>
        <w:t>·设施设备检查，巡护主要配合生境特征管理开展，在巡护中，巡护员需要对自动水位计、水位标尺、水位调控设备、观鸟屋等相关设施设备进行检查，如发现损坏及时报修。</w:t>
      </w:r>
    </w:p>
    <w:p w14:paraId="6BED7B1E">
      <w:pPr>
        <w:spacing w:line="360" w:lineRule="auto"/>
        <w:ind w:firstLine="480" w:firstLineChars="200"/>
        <w:rPr>
          <w:rFonts w:eastAsia="仿宋"/>
          <w:sz w:val="24"/>
        </w:rPr>
      </w:pPr>
      <w:r>
        <w:rPr>
          <w:rFonts w:hint="eastAsia" w:eastAsia="仿宋"/>
          <w:sz w:val="24"/>
        </w:rPr>
        <w:t>巡护负责人需要根据巡护员收集的信息，每半年向上级管理部门提交巡护报告。</w:t>
      </w:r>
    </w:p>
    <w:p w14:paraId="10992FD4">
      <w:pPr>
        <w:rPr>
          <w:rFonts w:eastAsia="仿宋"/>
          <w:sz w:val="24"/>
        </w:rPr>
      </w:pPr>
      <w:r>
        <w:rPr>
          <w:rFonts w:hint="eastAsia" w:eastAsia="仿宋"/>
          <w:sz w:val="24"/>
        </w:rPr>
        <w:br w:type="page"/>
      </w:r>
    </w:p>
    <w:p w14:paraId="5FCC8A4A">
      <w:pPr>
        <w:pStyle w:val="4"/>
        <w:ind w:firstLine="482" w:firstLineChars="200"/>
      </w:pPr>
      <w:r>
        <w:rPr>
          <w:rFonts w:hint="eastAsia"/>
        </w:rPr>
        <w:t>5、参考文献</w:t>
      </w:r>
    </w:p>
    <w:p w14:paraId="44E23484">
      <w:pPr>
        <w:tabs>
          <w:tab w:val="left" w:pos="1260"/>
        </w:tabs>
        <w:ind w:firstLine="480" w:firstLineChars="200"/>
        <w:rPr>
          <w:rFonts w:eastAsia="仿宋"/>
          <w:sz w:val="24"/>
        </w:rPr>
      </w:pPr>
      <w:r>
        <w:rPr>
          <w:rFonts w:eastAsia="仿宋"/>
          <w:sz w:val="24"/>
        </w:rPr>
        <w:t>Daubenmire</w:t>
      </w:r>
      <w:r>
        <w:rPr>
          <w:rFonts w:hint="eastAsia" w:eastAsia="仿宋"/>
          <w:sz w:val="24"/>
        </w:rPr>
        <w:t xml:space="preserve">, </w:t>
      </w:r>
      <w:r>
        <w:rPr>
          <w:rFonts w:eastAsia="仿宋"/>
          <w:sz w:val="24"/>
        </w:rPr>
        <w:t>R</w:t>
      </w:r>
      <w:r>
        <w:rPr>
          <w:rFonts w:hint="eastAsia" w:eastAsia="仿宋"/>
          <w:sz w:val="24"/>
        </w:rPr>
        <w:t xml:space="preserve">.  </w:t>
      </w:r>
      <w:r>
        <w:rPr>
          <w:rFonts w:eastAsia="仿宋"/>
          <w:sz w:val="24"/>
        </w:rPr>
        <w:t>Vegetation: identification of typal communities [J]</w:t>
      </w:r>
      <w:r>
        <w:rPr>
          <w:rFonts w:hint="eastAsia" w:eastAsia="仿宋"/>
          <w:sz w:val="24"/>
        </w:rPr>
        <w:t xml:space="preserve">. </w:t>
      </w:r>
      <w:r>
        <w:rPr>
          <w:rFonts w:eastAsia="仿宋"/>
          <w:sz w:val="24"/>
        </w:rPr>
        <w:t>Science,</w:t>
      </w:r>
      <w:r>
        <w:rPr>
          <w:rFonts w:hint="eastAsia" w:eastAsia="仿宋"/>
          <w:sz w:val="24"/>
        </w:rPr>
        <w:t xml:space="preserve"> </w:t>
      </w:r>
      <w:r>
        <w:rPr>
          <w:rFonts w:eastAsia="仿宋"/>
          <w:sz w:val="24"/>
        </w:rPr>
        <w:t>1966</w:t>
      </w:r>
      <w:r>
        <w:rPr>
          <w:rFonts w:hint="eastAsia" w:eastAsia="仿宋"/>
          <w:sz w:val="24"/>
        </w:rPr>
        <w:t xml:space="preserve">, </w:t>
      </w:r>
      <w:r>
        <w:rPr>
          <w:rFonts w:eastAsia="仿宋"/>
          <w:sz w:val="24"/>
        </w:rPr>
        <w:t>151</w:t>
      </w:r>
      <w:r>
        <w:rPr>
          <w:rFonts w:hint="eastAsia" w:eastAsia="仿宋"/>
          <w:sz w:val="24"/>
        </w:rPr>
        <w:t xml:space="preserve">: </w:t>
      </w:r>
      <w:r>
        <w:rPr>
          <w:rFonts w:eastAsia="仿宋"/>
          <w:sz w:val="24"/>
        </w:rPr>
        <w:t>291-298.</w:t>
      </w:r>
    </w:p>
    <w:p w14:paraId="35057A8E">
      <w:pPr>
        <w:tabs>
          <w:tab w:val="left" w:pos="1260"/>
        </w:tabs>
        <w:ind w:firstLine="480" w:firstLineChars="200"/>
        <w:rPr>
          <w:rFonts w:eastAsia="仿宋"/>
          <w:sz w:val="24"/>
        </w:rPr>
      </w:pPr>
      <w:r>
        <w:rPr>
          <w:rFonts w:eastAsia="仿宋"/>
          <w:sz w:val="24"/>
        </w:rPr>
        <w:t>Grinnell</w:t>
      </w:r>
      <w:r>
        <w:rPr>
          <w:rFonts w:hint="eastAsia" w:eastAsia="仿宋"/>
          <w:sz w:val="24"/>
        </w:rPr>
        <w:t>,</w:t>
      </w:r>
      <w:r>
        <w:rPr>
          <w:rFonts w:eastAsia="仿宋"/>
          <w:sz w:val="24"/>
        </w:rPr>
        <w:t xml:space="preserve"> J. Field tests of theories concerning distributional control [J]. </w:t>
      </w:r>
      <w:r>
        <w:fldChar w:fldCharType="begin"/>
      </w:r>
      <w:r>
        <w:instrText xml:space="preserve"> HYPERLINK "https://www.journals.uchicago.edu/toc/an/current" </w:instrText>
      </w:r>
      <w:r>
        <w:fldChar w:fldCharType="separate"/>
      </w:r>
      <w:r>
        <w:rPr>
          <w:rFonts w:eastAsia="仿宋"/>
          <w:sz w:val="24"/>
        </w:rPr>
        <w:t>The American Naturalist</w:t>
      </w:r>
      <w:r>
        <w:rPr>
          <w:rFonts w:eastAsia="仿宋"/>
          <w:sz w:val="24"/>
        </w:rPr>
        <w:fldChar w:fldCharType="end"/>
      </w:r>
      <w:r>
        <w:rPr>
          <w:rFonts w:eastAsia="仿宋"/>
          <w:sz w:val="24"/>
        </w:rPr>
        <w:t>, 1917</w:t>
      </w:r>
      <w:r>
        <w:rPr>
          <w:rFonts w:hint="eastAsia" w:eastAsia="仿宋"/>
          <w:sz w:val="24"/>
        </w:rPr>
        <w:t xml:space="preserve">, </w:t>
      </w:r>
      <w:r>
        <w:rPr>
          <w:rFonts w:eastAsia="仿宋"/>
          <w:sz w:val="24"/>
        </w:rPr>
        <w:t>51</w:t>
      </w:r>
      <w:r>
        <w:rPr>
          <w:rFonts w:hint="eastAsia" w:eastAsia="仿宋"/>
          <w:sz w:val="24"/>
        </w:rPr>
        <w:t>:</w:t>
      </w:r>
      <w:r>
        <w:rPr>
          <w:rFonts w:eastAsia="仿宋"/>
          <w:sz w:val="24"/>
        </w:rPr>
        <w:t xml:space="preserve"> 115</w:t>
      </w:r>
      <w:r>
        <w:rPr>
          <w:rFonts w:hint="eastAsia" w:eastAsia="仿宋"/>
          <w:sz w:val="24"/>
        </w:rPr>
        <w:t>-</w:t>
      </w:r>
      <w:r>
        <w:rPr>
          <w:rFonts w:eastAsia="仿宋"/>
          <w:sz w:val="24"/>
        </w:rPr>
        <w:t>128</w:t>
      </w:r>
      <w:r>
        <w:rPr>
          <w:rFonts w:hint="eastAsia" w:eastAsia="仿宋"/>
          <w:sz w:val="24"/>
        </w:rPr>
        <w:t>.</w:t>
      </w:r>
    </w:p>
    <w:p w14:paraId="2E3B61D1">
      <w:pPr>
        <w:tabs>
          <w:tab w:val="left" w:pos="1260"/>
        </w:tabs>
        <w:ind w:firstLine="480" w:firstLineChars="200"/>
        <w:rPr>
          <w:rFonts w:eastAsia="仿宋"/>
          <w:sz w:val="24"/>
        </w:rPr>
      </w:pPr>
      <w:r>
        <w:rPr>
          <w:rFonts w:eastAsia="仿宋"/>
          <w:sz w:val="24"/>
        </w:rPr>
        <w:t>Ma, Z., Melville, D.S., Liu, J., Chen, Y., Yang, H., Ren, W., Zhang, Z., Piersma, T.</w:t>
      </w:r>
      <w:r>
        <w:rPr>
          <w:rFonts w:hint="eastAsia" w:eastAsia="仿宋"/>
          <w:sz w:val="24"/>
        </w:rPr>
        <w:t>,</w:t>
      </w:r>
      <w:r>
        <w:rPr>
          <w:rFonts w:eastAsia="仿宋"/>
          <w:sz w:val="24"/>
        </w:rPr>
        <w:t xml:space="preserve"> Li, B., Rethinking China's new great wall [J].</w:t>
      </w:r>
      <w:r>
        <w:rPr>
          <w:rFonts w:hint="eastAsia" w:eastAsia="仿宋"/>
          <w:sz w:val="24"/>
        </w:rPr>
        <w:t xml:space="preserve"> </w:t>
      </w:r>
      <w:r>
        <w:rPr>
          <w:rFonts w:eastAsia="仿宋"/>
          <w:sz w:val="24"/>
        </w:rPr>
        <w:t>Science</w:t>
      </w:r>
      <w:r>
        <w:rPr>
          <w:rFonts w:hint="eastAsia" w:eastAsia="仿宋"/>
          <w:sz w:val="24"/>
        </w:rPr>
        <w:t xml:space="preserve">, </w:t>
      </w:r>
      <w:r>
        <w:rPr>
          <w:rFonts w:eastAsia="仿宋"/>
          <w:sz w:val="24"/>
        </w:rPr>
        <w:t>2014</w:t>
      </w:r>
      <w:r>
        <w:rPr>
          <w:rFonts w:hint="eastAsia" w:eastAsia="仿宋"/>
          <w:sz w:val="24"/>
        </w:rPr>
        <w:t xml:space="preserve">, </w:t>
      </w:r>
      <w:r>
        <w:rPr>
          <w:rFonts w:eastAsia="仿宋"/>
          <w:sz w:val="24"/>
        </w:rPr>
        <w:t>346</w:t>
      </w:r>
      <w:r>
        <w:rPr>
          <w:rFonts w:hint="eastAsia" w:eastAsia="仿宋"/>
          <w:sz w:val="24"/>
        </w:rPr>
        <w:t xml:space="preserve">: </w:t>
      </w:r>
      <w:r>
        <w:rPr>
          <w:rFonts w:eastAsia="仿宋"/>
          <w:sz w:val="24"/>
        </w:rPr>
        <w:t>912-914.</w:t>
      </w:r>
      <w:r>
        <w:rPr>
          <w:rFonts w:hint="eastAsia" w:eastAsia="仿宋"/>
          <w:sz w:val="24"/>
        </w:rPr>
        <w:t xml:space="preserve"> </w:t>
      </w:r>
    </w:p>
    <w:p w14:paraId="37246CA9">
      <w:pPr>
        <w:tabs>
          <w:tab w:val="left" w:pos="1260"/>
        </w:tabs>
        <w:ind w:firstLine="480" w:firstLineChars="200"/>
        <w:rPr>
          <w:rFonts w:eastAsia="仿宋"/>
          <w:sz w:val="24"/>
        </w:rPr>
      </w:pPr>
      <w:r>
        <w:rPr>
          <w:rFonts w:eastAsia="仿宋"/>
          <w:sz w:val="24"/>
        </w:rPr>
        <w:t>MacKinnon, J., Verkuil, Y.I. and Murray, N. IUCN situation analysis on East and Southeast Asian intertidal habitats, with particular reference to the Yellow Sea (including the Bohai Sea ) [</w:t>
      </w:r>
      <w:r>
        <w:rPr>
          <w:rFonts w:hint="eastAsia" w:eastAsia="仿宋"/>
          <w:sz w:val="24"/>
        </w:rPr>
        <w:t>M</w:t>
      </w:r>
      <w:r>
        <w:rPr>
          <w:rFonts w:eastAsia="仿宋"/>
          <w:sz w:val="24"/>
        </w:rPr>
        <w:t>].</w:t>
      </w:r>
      <w:r>
        <w:rPr>
          <w:rFonts w:hint="eastAsia" w:eastAsia="仿宋"/>
          <w:sz w:val="24"/>
        </w:rPr>
        <w:t xml:space="preserve"> Gland, Switzerland: IUCN, </w:t>
      </w:r>
      <w:r>
        <w:rPr>
          <w:rFonts w:eastAsia="仿宋"/>
          <w:sz w:val="24"/>
        </w:rPr>
        <w:t>2012</w:t>
      </w:r>
      <w:r>
        <w:rPr>
          <w:rFonts w:hint="eastAsia" w:eastAsia="仿宋"/>
          <w:sz w:val="24"/>
        </w:rPr>
        <w:t>.</w:t>
      </w:r>
    </w:p>
    <w:p w14:paraId="0B697227">
      <w:pPr>
        <w:tabs>
          <w:tab w:val="left" w:pos="1260"/>
        </w:tabs>
        <w:ind w:firstLine="480" w:firstLineChars="200"/>
        <w:rPr>
          <w:rFonts w:eastAsia="仿宋"/>
          <w:sz w:val="24"/>
        </w:rPr>
      </w:pPr>
      <w:r>
        <w:rPr>
          <w:rFonts w:eastAsia="仿宋"/>
          <w:sz w:val="24"/>
        </w:rPr>
        <w:t>Mu, T., Wilcove, D.S.</w:t>
      </w:r>
      <w:r>
        <w:rPr>
          <w:rFonts w:hint="eastAsia" w:eastAsia="仿宋"/>
          <w:sz w:val="24"/>
        </w:rPr>
        <w:t xml:space="preserve"> </w:t>
      </w:r>
      <w:r>
        <w:rPr>
          <w:rFonts w:eastAsia="仿宋"/>
          <w:sz w:val="24"/>
        </w:rPr>
        <w:t>Upper tidal flats are disproportionately important for the conservation of migratory shorebirds [J]. Proceedings of the Royal Society B</w:t>
      </w:r>
      <w:r>
        <w:rPr>
          <w:rFonts w:hint="eastAsia" w:eastAsia="仿宋"/>
          <w:sz w:val="24"/>
        </w:rPr>
        <w:t>,</w:t>
      </w:r>
      <w:r>
        <w:rPr>
          <w:rFonts w:eastAsia="仿宋"/>
          <w:sz w:val="24"/>
        </w:rPr>
        <w:t xml:space="preserve"> 2020</w:t>
      </w:r>
      <w:r>
        <w:rPr>
          <w:rFonts w:hint="eastAsia" w:eastAsia="仿宋"/>
          <w:sz w:val="24"/>
        </w:rPr>
        <w:t>,</w:t>
      </w:r>
      <w:r>
        <w:rPr>
          <w:rFonts w:eastAsia="仿宋"/>
          <w:sz w:val="24"/>
        </w:rPr>
        <w:t xml:space="preserve"> 287</w:t>
      </w:r>
      <w:r>
        <w:rPr>
          <w:rFonts w:hint="eastAsia" w:eastAsia="仿宋"/>
          <w:sz w:val="24"/>
        </w:rPr>
        <w:t>:</w:t>
      </w:r>
      <w:r>
        <w:rPr>
          <w:rFonts w:eastAsia="仿宋"/>
          <w:sz w:val="24"/>
        </w:rPr>
        <w:t xml:space="preserve"> 20200278.</w:t>
      </w:r>
    </w:p>
    <w:p w14:paraId="674D0514">
      <w:pPr>
        <w:tabs>
          <w:tab w:val="left" w:pos="1260"/>
        </w:tabs>
        <w:ind w:firstLine="480" w:firstLineChars="200"/>
        <w:rPr>
          <w:rFonts w:eastAsia="仿宋"/>
          <w:sz w:val="24"/>
        </w:rPr>
      </w:pPr>
      <w:r>
        <w:rPr>
          <w:rFonts w:eastAsia="仿宋"/>
          <w:sz w:val="24"/>
        </w:rPr>
        <w:t>Murray, N.J., Phinn, S.R., DeWitt, M., Ferrari, R., Johnston, R., Lyons, M. B., Clinton, N., Thau, D., Fuller, R.A. The global distribution and trajectory of tidal flats [J]. Nature</w:t>
      </w:r>
      <w:r>
        <w:rPr>
          <w:rFonts w:hint="eastAsia" w:eastAsia="仿宋"/>
          <w:sz w:val="24"/>
        </w:rPr>
        <w:t>,</w:t>
      </w:r>
      <w:r>
        <w:rPr>
          <w:rFonts w:eastAsia="仿宋"/>
          <w:sz w:val="24"/>
        </w:rPr>
        <w:t xml:space="preserve"> 2019</w:t>
      </w:r>
      <w:r>
        <w:rPr>
          <w:rFonts w:hint="eastAsia" w:eastAsia="仿宋"/>
          <w:sz w:val="24"/>
        </w:rPr>
        <w:t xml:space="preserve">, </w:t>
      </w:r>
      <w:r>
        <w:rPr>
          <w:rFonts w:eastAsia="仿宋"/>
          <w:sz w:val="24"/>
        </w:rPr>
        <w:t>565</w:t>
      </w:r>
      <w:r>
        <w:rPr>
          <w:rFonts w:hint="eastAsia" w:eastAsia="仿宋"/>
          <w:sz w:val="24"/>
        </w:rPr>
        <w:t>:</w:t>
      </w:r>
      <w:r>
        <w:rPr>
          <w:rFonts w:eastAsia="仿宋"/>
          <w:sz w:val="24"/>
        </w:rPr>
        <w:t xml:space="preserve"> 222-225. </w:t>
      </w:r>
    </w:p>
    <w:p w14:paraId="10C8B1FA">
      <w:pPr>
        <w:tabs>
          <w:tab w:val="left" w:pos="1260"/>
        </w:tabs>
        <w:ind w:firstLine="480" w:firstLineChars="200"/>
        <w:rPr>
          <w:rFonts w:eastAsia="仿宋"/>
          <w:sz w:val="24"/>
        </w:rPr>
      </w:pPr>
      <w:r>
        <w:rPr>
          <w:rFonts w:eastAsia="仿宋"/>
          <w:sz w:val="24"/>
        </w:rPr>
        <w:t>Whittaker</w:t>
      </w:r>
      <w:r>
        <w:rPr>
          <w:rFonts w:hint="eastAsia" w:eastAsia="仿宋"/>
          <w:sz w:val="24"/>
        </w:rPr>
        <w:t xml:space="preserve">, </w:t>
      </w:r>
      <w:r>
        <w:rPr>
          <w:rFonts w:eastAsia="仿宋"/>
          <w:sz w:val="24"/>
        </w:rPr>
        <w:t>R</w:t>
      </w:r>
      <w:r>
        <w:rPr>
          <w:rFonts w:hint="eastAsia" w:eastAsia="仿宋"/>
          <w:sz w:val="24"/>
        </w:rPr>
        <w:t>.</w:t>
      </w:r>
      <w:r>
        <w:rPr>
          <w:rFonts w:eastAsia="仿宋"/>
          <w:sz w:val="24"/>
        </w:rPr>
        <w:t>H</w:t>
      </w:r>
      <w:r>
        <w:rPr>
          <w:rFonts w:hint="eastAsia" w:eastAsia="仿宋"/>
          <w:sz w:val="24"/>
        </w:rPr>
        <w:t xml:space="preserve">. </w:t>
      </w:r>
      <w:r>
        <w:rPr>
          <w:rFonts w:eastAsia="仿宋"/>
          <w:sz w:val="24"/>
        </w:rPr>
        <w:t>Classification of</w:t>
      </w:r>
      <w:r>
        <w:rPr>
          <w:rFonts w:hint="eastAsia" w:eastAsia="仿宋"/>
          <w:sz w:val="24"/>
        </w:rPr>
        <w:t xml:space="preserve"> </w:t>
      </w:r>
      <w:r>
        <w:fldChar w:fldCharType="begin"/>
      </w:r>
      <w:r>
        <w:instrText xml:space="preserve"> HYPERLINK "https://www.plant-ecology.com/article/2020/1005-264X/1005-264X-44-2-96.shtml" </w:instrText>
      </w:r>
      <w:r>
        <w:fldChar w:fldCharType="separate"/>
      </w:r>
      <w:r>
        <w:rPr>
          <w:rFonts w:eastAsia="仿宋"/>
          <w:sz w:val="24"/>
        </w:rPr>
        <w:t>Plant</w:t>
      </w:r>
      <w:r>
        <w:rPr>
          <w:rFonts w:eastAsia="仿宋"/>
          <w:sz w:val="24"/>
        </w:rPr>
        <w:fldChar w:fldCharType="end"/>
      </w:r>
      <w:r>
        <w:rPr>
          <w:rFonts w:hint="eastAsia" w:eastAsia="仿宋"/>
          <w:sz w:val="24"/>
        </w:rPr>
        <w:t xml:space="preserve"> </w:t>
      </w:r>
      <w:r>
        <w:rPr>
          <w:rFonts w:eastAsia="仿宋"/>
          <w:sz w:val="24"/>
        </w:rPr>
        <w:t>Communities: Handbook of</w:t>
      </w:r>
      <w:r>
        <w:rPr>
          <w:rFonts w:hint="eastAsia" w:eastAsia="仿宋"/>
          <w:sz w:val="24"/>
        </w:rPr>
        <w:t xml:space="preserve"> </w:t>
      </w:r>
      <w:r>
        <w:fldChar w:fldCharType="begin"/>
      </w:r>
      <w:r>
        <w:instrText xml:space="preserve"> HYPERLINK "https://www.plant-ecology.com/article/2020/1005-264X/1005-264X-44-2-96.shtml" </w:instrText>
      </w:r>
      <w:r>
        <w:fldChar w:fldCharType="separate"/>
      </w:r>
      <w:r>
        <w:rPr>
          <w:rFonts w:eastAsia="仿宋"/>
          <w:sz w:val="24"/>
        </w:rPr>
        <w:t>Vegetation</w:t>
      </w:r>
      <w:r>
        <w:rPr>
          <w:rFonts w:eastAsia="仿宋"/>
          <w:sz w:val="24"/>
        </w:rPr>
        <w:fldChar w:fldCharType="end"/>
      </w:r>
      <w:r>
        <w:rPr>
          <w:rFonts w:hint="eastAsia" w:eastAsia="仿宋"/>
          <w:sz w:val="24"/>
        </w:rPr>
        <w:t xml:space="preserve"> </w:t>
      </w:r>
      <w:r>
        <w:rPr>
          <w:rFonts w:eastAsia="仿宋"/>
          <w:sz w:val="24"/>
        </w:rPr>
        <w:t>Science [</w:t>
      </w:r>
      <w:r>
        <w:rPr>
          <w:rFonts w:hint="eastAsia" w:eastAsia="仿宋"/>
          <w:sz w:val="24"/>
        </w:rPr>
        <w:t>M</w:t>
      </w:r>
      <w:r>
        <w:rPr>
          <w:rFonts w:eastAsia="仿宋"/>
          <w:sz w:val="24"/>
        </w:rPr>
        <w:t>]</w:t>
      </w:r>
      <w:r>
        <w:rPr>
          <w:rFonts w:hint="eastAsia" w:eastAsia="仿宋"/>
          <w:sz w:val="24"/>
        </w:rPr>
        <w:t xml:space="preserve">. </w:t>
      </w:r>
      <w:r>
        <w:rPr>
          <w:rFonts w:eastAsia="仿宋"/>
          <w:sz w:val="24"/>
        </w:rPr>
        <w:t>Berlin</w:t>
      </w:r>
      <w:r>
        <w:rPr>
          <w:rFonts w:hint="eastAsia" w:eastAsia="仿宋"/>
          <w:sz w:val="24"/>
        </w:rPr>
        <w:t xml:space="preserve">: </w:t>
      </w:r>
      <w:r>
        <w:rPr>
          <w:rFonts w:eastAsia="仿宋"/>
          <w:sz w:val="24"/>
        </w:rPr>
        <w:t>Springer</w:t>
      </w:r>
      <w:r>
        <w:rPr>
          <w:rFonts w:hint="eastAsia" w:eastAsia="仿宋"/>
          <w:sz w:val="24"/>
        </w:rPr>
        <w:t xml:space="preserve">, </w:t>
      </w:r>
      <w:r>
        <w:rPr>
          <w:rFonts w:eastAsia="仿宋"/>
          <w:sz w:val="24"/>
        </w:rPr>
        <w:t>1978.</w:t>
      </w:r>
    </w:p>
    <w:p w14:paraId="7E6071E6">
      <w:pPr>
        <w:tabs>
          <w:tab w:val="left" w:pos="1260"/>
        </w:tabs>
        <w:ind w:firstLine="480" w:firstLineChars="200"/>
        <w:rPr>
          <w:rFonts w:eastAsia="仿宋"/>
          <w:sz w:val="24"/>
        </w:rPr>
      </w:pPr>
      <w:r>
        <w:rPr>
          <w:rFonts w:hint="eastAsia" w:eastAsia="仿宋"/>
          <w:sz w:val="24"/>
        </w:rPr>
        <w:t>方精云, 郭柯, 王国宏, 唐志尧, 谢宗强, 沈泽昊, 王仁卿, 强胜, 梁存柱, 达良俊, 于丹. 《中国植被志》的植被分类系统、植被类型划分及编排体系[J]</w:t>
      </w:r>
      <w:r>
        <w:rPr>
          <w:rFonts w:eastAsia="仿宋"/>
          <w:sz w:val="24"/>
        </w:rPr>
        <w:t>. 植物生态学报, 2020, 44(2): 96-110.</w:t>
      </w:r>
    </w:p>
    <w:p w14:paraId="54FE7997">
      <w:pPr>
        <w:tabs>
          <w:tab w:val="left" w:pos="1260"/>
        </w:tabs>
        <w:ind w:firstLine="480" w:firstLineChars="200"/>
        <w:rPr>
          <w:rFonts w:eastAsia="仿宋"/>
          <w:sz w:val="24"/>
        </w:rPr>
      </w:pPr>
      <w:r>
        <w:rPr>
          <w:rFonts w:hint="eastAsia" w:eastAsia="仿宋"/>
          <w:sz w:val="24"/>
        </w:rPr>
        <w:t xml:space="preserve">马广仁. </w:t>
      </w:r>
      <w:r>
        <w:rPr>
          <w:rFonts w:hint="eastAsia" w:eastAsia="仿宋"/>
          <w:sz w:val="24"/>
          <w:lang w:val="zh-CN"/>
        </w:rPr>
        <w:t>国家湿地公园湿地修复技术指南</w:t>
      </w:r>
      <w:r>
        <w:rPr>
          <w:rFonts w:hint="eastAsia" w:eastAsia="仿宋"/>
          <w:sz w:val="24"/>
        </w:rPr>
        <w:t xml:space="preserve">[M]. 北京: 中国环境出版社, 2017. </w:t>
      </w:r>
    </w:p>
    <w:p w14:paraId="418B8B91">
      <w:pPr>
        <w:tabs>
          <w:tab w:val="left" w:pos="1260"/>
        </w:tabs>
        <w:spacing w:line="360" w:lineRule="auto"/>
        <w:ind w:firstLine="480" w:firstLineChars="200"/>
        <w:rPr>
          <w:rFonts w:eastAsia="仿宋"/>
          <w:sz w:val="24"/>
        </w:rPr>
      </w:pPr>
      <w:r>
        <w:rPr>
          <w:rFonts w:hint="eastAsia" w:eastAsia="仿宋"/>
          <w:sz w:val="24"/>
        </w:rPr>
        <w:t xml:space="preserve">宋永昌. </w:t>
      </w:r>
      <w:r>
        <w:rPr>
          <w:rFonts w:eastAsia="仿宋"/>
          <w:sz w:val="24"/>
        </w:rPr>
        <w:t>对中国</w:t>
      </w:r>
      <w:r>
        <w:fldChar w:fldCharType="begin"/>
      </w:r>
      <w:r>
        <w:instrText xml:space="preserve"> HYPERLINK "https://www.plant-ecology.com/article/2020/1005-264X/1005-264X-44-2-96.shtml" </w:instrText>
      </w:r>
      <w:r>
        <w:fldChar w:fldCharType="separate"/>
      </w:r>
      <w:r>
        <w:rPr>
          <w:rFonts w:eastAsia="仿宋"/>
          <w:sz w:val="24"/>
        </w:rPr>
        <w:t>植被</w:t>
      </w:r>
      <w:r>
        <w:rPr>
          <w:rFonts w:eastAsia="仿宋"/>
          <w:sz w:val="24"/>
        </w:rPr>
        <w:fldChar w:fldCharType="end"/>
      </w:r>
      <w:r>
        <w:fldChar w:fldCharType="begin"/>
      </w:r>
      <w:r>
        <w:instrText xml:space="preserve"> HYPERLINK "https://www.plant-ecology.com/article/2020/1005-264X/1005-264X-44-2-96.shtml" </w:instrText>
      </w:r>
      <w:r>
        <w:fldChar w:fldCharType="separate"/>
      </w:r>
      <w:r>
        <w:rPr>
          <w:rFonts w:eastAsia="仿宋"/>
          <w:sz w:val="24"/>
        </w:rPr>
        <w:t>分类</w:t>
      </w:r>
      <w:r>
        <w:rPr>
          <w:rFonts w:eastAsia="仿宋"/>
          <w:sz w:val="24"/>
        </w:rPr>
        <w:fldChar w:fldCharType="end"/>
      </w:r>
      <w:r>
        <w:rPr>
          <w:rFonts w:eastAsia="仿宋"/>
          <w:sz w:val="24"/>
        </w:rPr>
        <w:t>系统的认知和建议</w:t>
      </w:r>
      <w:r>
        <w:rPr>
          <w:rFonts w:hint="eastAsia" w:eastAsia="仿宋"/>
          <w:sz w:val="24"/>
        </w:rPr>
        <w:t>[J]</w:t>
      </w:r>
      <w:r>
        <w:rPr>
          <w:rFonts w:eastAsia="仿宋"/>
          <w:sz w:val="24"/>
        </w:rPr>
        <w:t>.</w:t>
      </w:r>
      <w:r>
        <w:rPr>
          <w:rFonts w:hint="eastAsia" w:eastAsia="仿宋"/>
          <w:sz w:val="24"/>
        </w:rPr>
        <w:t xml:space="preserve"> </w:t>
      </w:r>
      <w:r>
        <w:fldChar w:fldCharType="begin"/>
      </w:r>
      <w:r>
        <w:instrText xml:space="preserve"> HYPERLINK "https://www.plant-ecology.com/article/2020/1005-264X/1005-264X-44-2-96.shtml" </w:instrText>
      </w:r>
      <w:r>
        <w:fldChar w:fldCharType="separate"/>
      </w:r>
      <w:r>
        <w:rPr>
          <w:rFonts w:eastAsia="仿宋"/>
          <w:sz w:val="24"/>
        </w:rPr>
        <w:t>植物</w:t>
      </w:r>
      <w:r>
        <w:rPr>
          <w:rFonts w:eastAsia="仿宋"/>
          <w:sz w:val="24"/>
        </w:rPr>
        <w:fldChar w:fldCharType="end"/>
      </w:r>
      <w:r>
        <w:rPr>
          <w:rFonts w:eastAsia="仿宋"/>
          <w:sz w:val="24"/>
        </w:rPr>
        <w:t>生态学报,</w:t>
      </w:r>
      <w:r>
        <w:rPr>
          <w:rFonts w:hint="eastAsia" w:eastAsia="仿宋"/>
          <w:sz w:val="24"/>
        </w:rPr>
        <w:t xml:space="preserve"> 2011, 35: 882</w:t>
      </w:r>
      <w:r>
        <w:rPr>
          <w:rFonts w:eastAsia="仿宋"/>
          <w:sz w:val="24"/>
        </w:rPr>
        <w:t>-</w:t>
      </w:r>
      <w:r>
        <w:rPr>
          <w:rFonts w:hint="eastAsia" w:eastAsia="仿宋"/>
          <w:sz w:val="24"/>
        </w:rPr>
        <w:t>892.</w:t>
      </w:r>
    </w:p>
    <w:p w14:paraId="2176213B">
      <w:pPr>
        <w:rPr>
          <w:rFonts w:eastAsia="仿宋"/>
          <w:sz w:val="24"/>
        </w:rPr>
      </w:pPr>
      <w:r>
        <w:rPr>
          <w:rFonts w:hint="eastAsia" w:eastAsia="仿宋"/>
          <w:sz w:val="24"/>
        </w:rPr>
        <w:br w:type="page"/>
      </w:r>
    </w:p>
    <w:p w14:paraId="4BE588F5">
      <w:pPr>
        <w:pStyle w:val="3"/>
        <w:rPr>
          <w:rFonts w:ascii="Times New Roman" w:hAnsi="Times New Roman"/>
        </w:rPr>
      </w:pPr>
      <w:bookmarkStart w:id="45" w:name="_Toc437244222"/>
      <w:bookmarkStart w:id="46" w:name="_Toc118217830"/>
      <w:bookmarkStart w:id="47" w:name="_Toc4667"/>
      <w:bookmarkStart w:id="48" w:name="_Toc11902"/>
      <w:bookmarkStart w:id="49" w:name="OLE_LINK1"/>
      <w:bookmarkStart w:id="50" w:name="OLE_LINK2"/>
      <w:r>
        <w:rPr>
          <w:rFonts w:hint="eastAsia" w:ascii="Times New Roman" w:hAnsi="Times New Roman"/>
        </w:rPr>
        <w:t>三</w:t>
      </w:r>
      <w:r>
        <w:rPr>
          <w:rFonts w:ascii="Times New Roman" w:hAnsi="Times New Roman"/>
        </w:rPr>
        <w:t>、</w:t>
      </w:r>
      <w:bookmarkEnd w:id="45"/>
      <w:r>
        <w:rPr>
          <w:rFonts w:ascii="Times New Roman" w:hAnsi="Times New Roman"/>
        </w:rPr>
        <w:t>主要试验（或验证）</w:t>
      </w:r>
      <w:r>
        <w:rPr>
          <w:rFonts w:hint="eastAsia" w:ascii="Times New Roman" w:hAnsi="Times New Roman"/>
        </w:rPr>
        <w:t>的</w:t>
      </w:r>
      <w:r>
        <w:rPr>
          <w:rFonts w:ascii="Times New Roman" w:hAnsi="Times New Roman"/>
        </w:rPr>
        <w:t>分析、综述</w:t>
      </w:r>
      <w:r>
        <w:rPr>
          <w:rFonts w:hint="eastAsia" w:ascii="Times New Roman" w:hAnsi="Times New Roman"/>
        </w:rPr>
        <w:t>报告</w:t>
      </w:r>
      <w:r>
        <w:rPr>
          <w:rFonts w:ascii="Times New Roman" w:hAnsi="Times New Roman"/>
        </w:rPr>
        <w:t>、技术经济论证，预期的经济效果</w:t>
      </w:r>
      <w:bookmarkEnd w:id="46"/>
      <w:bookmarkEnd w:id="47"/>
      <w:bookmarkEnd w:id="48"/>
    </w:p>
    <w:bookmarkEnd w:id="49"/>
    <w:bookmarkEnd w:id="50"/>
    <w:p w14:paraId="3FC40582">
      <w:pPr>
        <w:pStyle w:val="4"/>
      </w:pPr>
      <w:bookmarkStart w:id="51" w:name="_Toc1634"/>
      <w:bookmarkStart w:id="52" w:name="_Toc15634"/>
      <w:bookmarkStart w:id="53" w:name="_Toc118217831"/>
      <w:r>
        <w:t>（一）主要试验（或验证）</w:t>
      </w:r>
      <w:r>
        <w:rPr>
          <w:rFonts w:hint="eastAsia"/>
        </w:rPr>
        <w:t>的</w:t>
      </w:r>
      <w:r>
        <w:t>分析、综述</w:t>
      </w:r>
      <w:bookmarkEnd w:id="51"/>
      <w:r>
        <w:rPr>
          <w:rFonts w:hint="eastAsia"/>
        </w:rPr>
        <w:t>报告</w:t>
      </w:r>
      <w:r>
        <w:t>、技术经济论证</w:t>
      </w:r>
      <w:bookmarkEnd w:id="52"/>
      <w:bookmarkEnd w:id="53"/>
    </w:p>
    <w:p w14:paraId="5E141248">
      <w:pPr>
        <w:spacing w:line="360" w:lineRule="auto"/>
        <w:ind w:firstLine="480"/>
        <w:rPr>
          <w:rFonts w:eastAsia="仿宋"/>
          <w:sz w:val="24"/>
          <w:lang w:val="zh-CN"/>
        </w:rPr>
      </w:pPr>
      <w:r>
        <w:rPr>
          <w:rFonts w:hint="eastAsia" w:eastAsia="仿宋"/>
          <w:sz w:val="24"/>
        </w:rPr>
        <w:t>自2022年以来，本标准的主要起草单位：东台沿海湿地旅游度假经济区条子泥湿地服务中心、深圳市红树林湿地保护基金会和北京林业大学在江苏东台条子泥自然遗产地按照本标准修复了上万亩水鸟高潮停歇地，同时对“条子泥720”水鸟高潮停歇地进行了良好的管理与巡护。“条子泥720”和“条子泥一万亩”水鸟高潮位栖息地质量较高，在迁徙高峰时能被15万以上的水鸟所利用。两年多的试验表明本标准</w:t>
      </w:r>
      <w:r>
        <w:rPr>
          <w:rFonts w:hint="eastAsia" w:eastAsia="仿宋"/>
          <w:sz w:val="24"/>
          <w:lang w:val="zh-CN"/>
        </w:rPr>
        <w:t>框架合理、技术方法先进、思路清晰、具有可操作性，为后续工作奠定了较好的工作基础。</w:t>
      </w:r>
    </w:p>
    <w:p w14:paraId="430E4DFD">
      <w:pPr>
        <w:pStyle w:val="4"/>
      </w:pPr>
      <w:bookmarkStart w:id="54" w:name="_Toc118217832"/>
      <w:bookmarkStart w:id="55" w:name="_Toc29870"/>
      <w:bookmarkStart w:id="56" w:name="_Toc7284"/>
      <w:r>
        <w:t>（二）预期的经济效果</w:t>
      </w:r>
      <w:bookmarkEnd w:id="54"/>
      <w:bookmarkEnd w:id="55"/>
      <w:bookmarkEnd w:id="56"/>
    </w:p>
    <w:p w14:paraId="16D2CA17">
      <w:pPr>
        <w:tabs>
          <w:tab w:val="left" w:pos="468"/>
        </w:tabs>
        <w:spacing w:line="360" w:lineRule="auto"/>
        <w:ind w:firstLine="480" w:firstLineChars="200"/>
        <w:rPr>
          <w:rFonts w:eastAsia="仿宋"/>
          <w:sz w:val="24"/>
        </w:rPr>
      </w:pPr>
      <w:r>
        <w:rPr>
          <w:rFonts w:hint="eastAsia" w:eastAsia="仿宋"/>
          <w:sz w:val="24"/>
        </w:rPr>
        <w:t>生态修复是重要的生态环境政策，滨海淤泥质滩涂水鸟高潮位栖息地的建设、维护与管理是滨海水鸟种群保护和滨海湿地生态系统管理的重要工作之一。本标准的制定对于科学指导和规范我国滨海淤泥质滩涂水鸟高潮位栖息地保护修复工作的开展，促进滨海湿地生态系统的整体保护和修复，促进其可持续发展，推动我国滨海湿地生态文明建设具有重大的现实意义。</w:t>
      </w:r>
      <w:r>
        <w:rPr>
          <w:rFonts w:eastAsia="仿宋"/>
          <w:sz w:val="24"/>
        </w:rPr>
        <w:t>该技术</w:t>
      </w:r>
      <w:r>
        <w:rPr>
          <w:rFonts w:hint="eastAsia" w:eastAsia="仿宋"/>
          <w:sz w:val="24"/>
        </w:rPr>
        <w:t>规程</w:t>
      </w:r>
      <w:r>
        <w:rPr>
          <w:rFonts w:eastAsia="仿宋"/>
          <w:sz w:val="24"/>
        </w:rPr>
        <w:t>若能得以顺利实施并成功推广，必将带来</w:t>
      </w:r>
      <w:r>
        <w:rPr>
          <w:rFonts w:hint="eastAsia" w:eastAsia="仿宋"/>
          <w:sz w:val="24"/>
        </w:rPr>
        <w:t>持续的</w:t>
      </w:r>
      <w:r>
        <w:rPr>
          <w:rFonts w:eastAsia="仿宋"/>
          <w:sz w:val="24"/>
        </w:rPr>
        <w:t>经济效益、社会效益和</w:t>
      </w:r>
      <w:r>
        <w:rPr>
          <w:rFonts w:hint="eastAsia" w:eastAsia="仿宋"/>
          <w:sz w:val="24"/>
        </w:rPr>
        <w:t>生态</w:t>
      </w:r>
      <w:r>
        <w:rPr>
          <w:rFonts w:eastAsia="仿宋"/>
          <w:sz w:val="24"/>
        </w:rPr>
        <w:t>效益</w:t>
      </w:r>
      <w:r>
        <w:rPr>
          <w:rFonts w:eastAsia="仿宋"/>
          <w:sz w:val="24"/>
          <w:lang w:val="zh-CN"/>
        </w:rPr>
        <w:t>。</w:t>
      </w:r>
    </w:p>
    <w:p w14:paraId="2F9F8C67">
      <w:pPr>
        <w:pStyle w:val="3"/>
        <w:rPr>
          <w:rFonts w:ascii="Times New Roman" w:hAnsi="Times New Roman"/>
        </w:rPr>
      </w:pPr>
      <w:bookmarkStart w:id="57" w:name="_Toc30086"/>
      <w:bookmarkStart w:id="58" w:name="_Toc80888319"/>
      <w:bookmarkStart w:id="59" w:name="_Toc80888195"/>
      <w:bookmarkStart w:id="60" w:name="_Toc29703"/>
      <w:bookmarkStart w:id="61" w:name="_Toc80868305"/>
      <w:bookmarkStart w:id="62" w:name="_Toc13421"/>
      <w:bookmarkStart w:id="63" w:name="_Toc118217833"/>
      <w:r>
        <w:rPr>
          <w:rFonts w:hint="eastAsia" w:ascii="Times New Roman" w:hAnsi="Times New Roman"/>
        </w:rPr>
        <w:t>四、采用国际标准和国外先进标准的程度，以及与国际、国外同类标准水平的对比情况，或与测试的国外样品、样机的有关数据对比情况</w:t>
      </w:r>
      <w:bookmarkEnd w:id="57"/>
      <w:bookmarkEnd w:id="58"/>
      <w:bookmarkEnd w:id="59"/>
      <w:bookmarkEnd w:id="60"/>
      <w:bookmarkEnd w:id="61"/>
      <w:bookmarkEnd w:id="62"/>
      <w:bookmarkEnd w:id="63"/>
    </w:p>
    <w:p w14:paraId="16DA202A">
      <w:pPr>
        <w:spacing w:line="360" w:lineRule="auto"/>
        <w:ind w:firstLine="480"/>
        <w:rPr>
          <w:rFonts w:eastAsia="仿宋"/>
          <w:sz w:val="24"/>
        </w:rPr>
      </w:pPr>
      <w:r>
        <w:rPr>
          <w:rFonts w:hint="eastAsia" w:eastAsia="仿宋"/>
          <w:sz w:val="24"/>
        </w:rPr>
        <w:t>无</w:t>
      </w:r>
    </w:p>
    <w:p w14:paraId="4910AF71">
      <w:pPr>
        <w:pStyle w:val="3"/>
        <w:rPr>
          <w:rFonts w:ascii="Times New Roman" w:hAnsi="Times New Roman"/>
        </w:rPr>
      </w:pPr>
      <w:bookmarkStart w:id="64" w:name="_Toc21221"/>
      <w:bookmarkStart w:id="65" w:name="_Toc3483"/>
      <w:bookmarkStart w:id="66" w:name="_Toc118217834"/>
      <w:bookmarkStart w:id="67" w:name="_Toc437244223"/>
      <w:r>
        <w:rPr>
          <w:rFonts w:ascii="Times New Roman" w:hAnsi="Times New Roman"/>
        </w:rPr>
        <w:t>五、与有关的现行法律、法规</w:t>
      </w:r>
      <w:r>
        <w:rPr>
          <w:rFonts w:hint="eastAsia" w:ascii="Times New Roman" w:hAnsi="Times New Roman"/>
        </w:rPr>
        <w:t>、强制性标准</w:t>
      </w:r>
      <w:r>
        <w:rPr>
          <w:rFonts w:ascii="Times New Roman" w:hAnsi="Times New Roman"/>
        </w:rPr>
        <w:t>的关系</w:t>
      </w:r>
      <w:bookmarkEnd w:id="64"/>
      <w:bookmarkEnd w:id="65"/>
      <w:bookmarkEnd w:id="66"/>
      <w:bookmarkEnd w:id="67"/>
    </w:p>
    <w:p w14:paraId="20276722">
      <w:pPr>
        <w:tabs>
          <w:tab w:val="left" w:pos="1260"/>
        </w:tabs>
        <w:spacing w:line="360" w:lineRule="auto"/>
        <w:ind w:firstLine="480" w:firstLineChars="200"/>
        <w:rPr>
          <w:rFonts w:eastAsia="仿宋"/>
          <w:sz w:val="24"/>
          <w:lang w:val="zh-CN"/>
        </w:rPr>
      </w:pPr>
      <w:r>
        <w:rPr>
          <w:rFonts w:eastAsia="仿宋"/>
          <w:sz w:val="24"/>
          <w:lang w:val="zh-CN"/>
        </w:rPr>
        <w:t>本</w:t>
      </w:r>
      <w:r>
        <w:rPr>
          <w:rFonts w:hint="eastAsia" w:eastAsia="仿宋"/>
          <w:sz w:val="24"/>
        </w:rPr>
        <w:t>标准</w:t>
      </w:r>
      <w:r>
        <w:rPr>
          <w:rFonts w:eastAsia="仿宋"/>
          <w:sz w:val="24"/>
          <w:lang w:val="zh-CN"/>
        </w:rPr>
        <w:t>是根据</w:t>
      </w:r>
      <w:r>
        <w:rPr>
          <w:rFonts w:hint="eastAsia" w:eastAsia="仿宋"/>
          <w:sz w:val="24"/>
          <w:lang w:val="zh-CN"/>
        </w:rPr>
        <w:t>《标准化工作导则 第1部分：标准化文件的结构和起草规则》（GB/T 1.1—2020）、《地表水环境质量标准》（GB 3838）、《水位测量仪器》（GB/T 11828）、《湿地分类》（GB/T 24708）、《生物多样性观测技术导则  鸟类》（HJ 710.4）、《生物多样性观测技术导则  陆生维管植物》（HJ 710.1）、《水位观测平台技术标准》（SL 384）</w:t>
      </w:r>
      <w:r>
        <w:rPr>
          <w:rFonts w:eastAsia="仿宋"/>
          <w:sz w:val="24"/>
          <w:lang w:val="zh-CN"/>
        </w:rPr>
        <w:t>等有关法律、法规、规章和规范性文件制定的。</w:t>
      </w:r>
    </w:p>
    <w:p w14:paraId="22AC381A">
      <w:pPr>
        <w:pStyle w:val="3"/>
        <w:rPr>
          <w:rFonts w:ascii="Times New Roman" w:hAnsi="Times New Roman"/>
        </w:rPr>
      </w:pPr>
      <w:bookmarkStart w:id="68" w:name="_Toc118217835"/>
      <w:bookmarkStart w:id="69" w:name="_Toc80888321"/>
      <w:bookmarkStart w:id="70" w:name="_Toc26435"/>
      <w:bookmarkStart w:id="71" w:name="_Toc9059"/>
      <w:bookmarkStart w:id="72" w:name="_Toc80868307"/>
      <w:bookmarkStart w:id="73" w:name="_Toc28993"/>
      <w:bookmarkStart w:id="74" w:name="_Toc80888197"/>
      <w:r>
        <w:rPr>
          <w:rFonts w:ascii="Times New Roman" w:hAnsi="Times New Roman"/>
        </w:rPr>
        <w:t>六、重大分歧意见的处理经过和依据</w:t>
      </w:r>
      <w:bookmarkEnd w:id="68"/>
      <w:bookmarkEnd w:id="69"/>
      <w:bookmarkEnd w:id="70"/>
      <w:bookmarkEnd w:id="71"/>
      <w:bookmarkEnd w:id="72"/>
      <w:bookmarkEnd w:id="73"/>
      <w:bookmarkEnd w:id="74"/>
    </w:p>
    <w:p w14:paraId="43F1127D">
      <w:pPr>
        <w:spacing w:line="360" w:lineRule="auto"/>
        <w:ind w:firstLine="480"/>
        <w:rPr>
          <w:rFonts w:eastAsia="仿宋"/>
          <w:sz w:val="24"/>
          <w:lang w:val="zh-CN"/>
        </w:rPr>
      </w:pPr>
      <w:r>
        <w:rPr>
          <w:rFonts w:eastAsia="仿宋"/>
          <w:sz w:val="24"/>
          <w:lang w:val="zh-CN"/>
        </w:rPr>
        <w:t>无</w:t>
      </w:r>
      <w:r>
        <w:rPr>
          <w:rFonts w:hint="eastAsia" w:eastAsia="仿宋"/>
          <w:sz w:val="24"/>
          <w:lang w:val="zh-CN"/>
        </w:rPr>
        <w:t>。</w:t>
      </w:r>
    </w:p>
    <w:p w14:paraId="125F2579">
      <w:pPr>
        <w:pStyle w:val="3"/>
        <w:rPr>
          <w:rFonts w:ascii="Times New Roman" w:hAnsi="Times New Roman"/>
        </w:rPr>
      </w:pPr>
      <w:bookmarkStart w:id="75" w:name="_Toc118217836"/>
      <w:bookmarkStart w:id="76" w:name="_Toc16188"/>
      <w:bookmarkStart w:id="77" w:name="_Toc12346"/>
      <w:r>
        <w:rPr>
          <w:rFonts w:hint="eastAsia" w:ascii="Times New Roman" w:hAnsi="Times New Roman"/>
        </w:rPr>
        <w:t>七</w:t>
      </w:r>
      <w:r>
        <w:rPr>
          <w:rFonts w:ascii="Times New Roman" w:hAnsi="Times New Roman"/>
        </w:rPr>
        <w:t>、</w:t>
      </w:r>
      <w:bookmarkEnd w:id="75"/>
      <w:bookmarkEnd w:id="76"/>
      <w:r>
        <w:rPr>
          <w:rFonts w:ascii="Times New Roman" w:hAnsi="Times New Roman"/>
        </w:rPr>
        <w:t>标准作为强制性</w:t>
      </w:r>
      <w:r>
        <w:rPr>
          <w:rFonts w:hint="eastAsia" w:ascii="Times New Roman" w:hAnsi="Times New Roman"/>
        </w:rPr>
        <w:t>行业</w:t>
      </w:r>
      <w:r>
        <w:rPr>
          <w:rFonts w:ascii="Times New Roman" w:hAnsi="Times New Roman"/>
        </w:rPr>
        <w:t>标准</w:t>
      </w:r>
      <w:r>
        <w:rPr>
          <w:rFonts w:hint="eastAsia" w:ascii="Times New Roman" w:hAnsi="Times New Roman"/>
        </w:rPr>
        <w:t>或</w:t>
      </w:r>
      <w:r>
        <w:rPr>
          <w:rFonts w:ascii="Times New Roman" w:hAnsi="Times New Roman"/>
        </w:rPr>
        <w:t>推荐性</w:t>
      </w:r>
      <w:r>
        <w:rPr>
          <w:rFonts w:hint="eastAsia" w:ascii="Times New Roman" w:hAnsi="Times New Roman"/>
        </w:rPr>
        <w:t>行业</w:t>
      </w:r>
      <w:r>
        <w:rPr>
          <w:rFonts w:ascii="Times New Roman" w:hAnsi="Times New Roman"/>
        </w:rPr>
        <w:t>标准的建议</w:t>
      </w:r>
      <w:bookmarkEnd w:id="77"/>
    </w:p>
    <w:p w14:paraId="672D4130">
      <w:pPr>
        <w:spacing w:line="360" w:lineRule="auto"/>
        <w:ind w:firstLine="480"/>
        <w:rPr>
          <w:rFonts w:eastAsia="仿宋"/>
          <w:sz w:val="24"/>
          <w:lang w:val="zh-CN"/>
        </w:rPr>
      </w:pPr>
      <w:r>
        <w:rPr>
          <w:rFonts w:hint="eastAsia" w:eastAsia="仿宋"/>
          <w:sz w:val="24"/>
        </w:rPr>
        <w:t>本标准</w:t>
      </w:r>
      <w:r>
        <w:rPr>
          <w:rFonts w:hint="eastAsia" w:eastAsia="仿宋"/>
          <w:sz w:val="24"/>
          <w:lang w:val="zh-CN"/>
        </w:rPr>
        <w:t>框架合理、技术方法先进、思路清晰、具有可操作性，</w:t>
      </w:r>
      <w:r>
        <w:rPr>
          <w:rFonts w:eastAsia="仿宋"/>
          <w:sz w:val="24"/>
          <w:lang w:val="zh-CN"/>
        </w:rPr>
        <w:t>并符合国家有关法律法规的要求。本</w:t>
      </w:r>
      <w:r>
        <w:rPr>
          <w:rFonts w:hint="eastAsia" w:eastAsia="仿宋"/>
          <w:sz w:val="24"/>
        </w:rPr>
        <w:t>标准</w:t>
      </w:r>
      <w:r>
        <w:rPr>
          <w:rFonts w:eastAsia="仿宋"/>
          <w:sz w:val="24"/>
          <w:lang w:val="zh-CN"/>
        </w:rPr>
        <w:t>完成后将作为指导</w:t>
      </w:r>
      <w:r>
        <w:rPr>
          <w:rFonts w:hint="eastAsia" w:eastAsia="仿宋"/>
          <w:sz w:val="24"/>
          <w:lang w:val="zh-CN"/>
        </w:rPr>
        <w:t>我国滨海淤泥质滩涂水鸟高潮位栖息地保护修复工作的开展</w:t>
      </w:r>
      <w:r>
        <w:rPr>
          <w:rFonts w:eastAsia="仿宋"/>
          <w:sz w:val="24"/>
          <w:lang w:val="zh-CN"/>
        </w:rPr>
        <w:t>的推荐性</w:t>
      </w:r>
      <w:r>
        <w:rPr>
          <w:rFonts w:hint="eastAsia" w:eastAsia="仿宋"/>
          <w:sz w:val="24"/>
          <w:lang w:val="zh-CN"/>
        </w:rPr>
        <w:t>行业</w:t>
      </w:r>
      <w:r>
        <w:rPr>
          <w:rFonts w:hint="eastAsia" w:eastAsia="仿宋"/>
          <w:sz w:val="24"/>
        </w:rPr>
        <w:t>标准</w:t>
      </w:r>
      <w:r>
        <w:rPr>
          <w:rFonts w:eastAsia="仿宋"/>
          <w:sz w:val="24"/>
          <w:lang w:val="zh-CN"/>
        </w:rPr>
        <w:t>。</w:t>
      </w:r>
    </w:p>
    <w:p w14:paraId="4E2AAB0C">
      <w:pPr>
        <w:pStyle w:val="3"/>
        <w:rPr>
          <w:rFonts w:ascii="Times New Roman" w:hAnsi="Times New Roman"/>
        </w:rPr>
      </w:pPr>
      <w:bookmarkStart w:id="78" w:name="_Toc32137"/>
      <w:bookmarkStart w:id="79" w:name="_Toc118217837"/>
      <w:bookmarkStart w:id="80" w:name="_Toc1108"/>
      <w:bookmarkStart w:id="81" w:name="OLE_LINK18"/>
      <w:r>
        <w:rPr>
          <w:rFonts w:hint="eastAsia" w:ascii="Times New Roman" w:hAnsi="Times New Roman"/>
        </w:rPr>
        <w:t>八</w:t>
      </w:r>
      <w:r>
        <w:rPr>
          <w:rFonts w:ascii="Times New Roman" w:hAnsi="Times New Roman"/>
        </w:rPr>
        <w:t>、</w:t>
      </w:r>
      <w:bookmarkEnd w:id="78"/>
      <w:bookmarkEnd w:id="79"/>
      <w:r>
        <w:rPr>
          <w:rFonts w:ascii="Times New Roman" w:hAnsi="Times New Roman"/>
        </w:rPr>
        <w:t>贯彻该标准的要求和措施建议</w:t>
      </w:r>
      <w:bookmarkEnd w:id="80"/>
    </w:p>
    <w:bookmarkEnd w:id="81"/>
    <w:p w14:paraId="55F0D8AE">
      <w:pPr>
        <w:spacing w:line="360" w:lineRule="auto"/>
        <w:ind w:firstLine="480"/>
        <w:rPr>
          <w:rFonts w:eastAsia="仿宋"/>
          <w:sz w:val="24"/>
          <w:lang w:val="zh-CN"/>
        </w:rPr>
      </w:pPr>
      <w:r>
        <w:rPr>
          <w:rFonts w:eastAsia="仿宋"/>
          <w:sz w:val="24"/>
          <w:lang w:val="zh-CN"/>
        </w:rPr>
        <w:t>在</w:t>
      </w:r>
      <w:r>
        <w:rPr>
          <w:rFonts w:hint="eastAsia" w:eastAsia="仿宋"/>
          <w:sz w:val="24"/>
        </w:rPr>
        <w:t>标准</w:t>
      </w:r>
      <w:r>
        <w:rPr>
          <w:rFonts w:eastAsia="仿宋"/>
          <w:sz w:val="24"/>
          <w:lang w:val="zh-CN"/>
        </w:rPr>
        <w:t>的实施过程中，主管部门应注意收集对</w:t>
      </w:r>
      <w:r>
        <w:rPr>
          <w:rFonts w:hint="eastAsia" w:eastAsia="仿宋"/>
          <w:sz w:val="24"/>
        </w:rPr>
        <w:t>标准</w:t>
      </w:r>
      <w:r>
        <w:rPr>
          <w:rFonts w:eastAsia="仿宋"/>
          <w:sz w:val="24"/>
          <w:lang w:val="zh-CN"/>
        </w:rPr>
        <w:t>的有关意见和建议，及时发现</w:t>
      </w:r>
      <w:r>
        <w:rPr>
          <w:rFonts w:hint="eastAsia" w:eastAsia="仿宋"/>
          <w:sz w:val="24"/>
        </w:rPr>
        <w:t>标准</w:t>
      </w:r>
      <w:r>
        <w:rPr>
          <w:rFonts w:eastAsia="仿宋"/>
          <w:sz w:val="24"/>
          <w:lang w:val="zh-CN"/>
        </w:rPr>
        <w:t>在适应实际工作需要方面存在的问题，并根据</w:t>
      </w:r>
      <w:r>
        <w:rPr>
          <w:rFonts w:hint="eastAsia" w:eastAsia="仿宋"/>
          <w:sz w:val="24"/>
        </w:rPr>
        <w:t>标准</w:t>
      </w:r>
      <w:r>
        <w:rPr>
          <w:rFonts w:eastAsia="仿宋"/>
          <w:sz w:val="24"/>
          <w:lang w:val="zh-CN"/>
        </w:rPr>
        <w:t>实施情况，适时对本</w:t>
      </w:r>
      <w:r>
        <w:rPr>
          <w:rFonts w:hint="eastAsia" w:eastAsia="仿宋"/>
          <w:sz w:val="24"/>
        </w:rPr>
        <w:t>标准</w:t>
      </w:r>
      <w:r>
        <w:rPr>
          <w:rFonts w:eastAsia="仿宋"/>
          <w:sz w:val="24"/>
          <w:lang w:val="zh-CN"/>
        </w:rPr>
        <w:t>进行修订和完善。</w:t>
      </w:r>
    </w:p>
    <w:p w14:paraId="13B56594">
      <w:pPr>
        <w:pStyle w:val="3"/>
        <w:rPr>
          <w:rFonts w:ascii="Times New Roman" w:hAnsi="Times New Roman"/>
        </w:rPr>
      </w:pPr>
      <w:bookmarkStart w:id="82" w:name="_Toc118217838"/>
      <w:bookmarkStart w:id="83" w:name="_Toc80888324"/>
      <w:bookmarkStart w:id="84" w:name="_Toc80888200"/>
      <w:bookmarkStart w:id="85" w:name="_Toc30565"/>
      <w:r>
        <w:rPr>
          <w:rFonts w:ascii="Times New Roman" w:hAnsi="Times New Roman"/>
        </w:rPr>
        <w:t>九、</w:t>
      </w:r>
      <w:bookmarkEnd w:id="82"/>
      <w:bookmarkEnd w:id="83"/>
      <w:bookmarkEnd w:id="84"/>
      <w:r>
        <w:rPr>
          <w:rFonts w:ascii="Times New Roman" w:hAnsi="Times New Roman"/>
        </w:rPr>
        <w:t>废止现行有关标准的建议</w:t>
      </w:r>
      <w:bookmarkEnd w:id="85"/>
    </w:p>
    <w:p w14:paraId="3106947E">
      <w:pPr>
        <w:spacing w:line="360" w:lineRule="auto"/>
        <w:ind w:firstLine="480"/>
        <w:rPr>
          <w:rFonts w:eastAsia="仿宋"/>
          <w:sz w:val="24"/>
          <w:lang w:val="zh-CN"/>
        </w:rPr>
      </w:pPr>
      <w:r>
        <w:rPr>
          <w:rFonts w:eastAsia="仿宋"/>
          <w:sz w:val="24"/>
          <w:lang w:val="zh-CN"/>
        </w:rPr>
        <w:t>无</w:t>
      </w:r>
      <w:r>
        <w:rPr>
          <w:rFonts w:hint="eastAsia" w:eastAsia="仿宋"/>
          <w:sz w:val="24"/>
          <w:lang w:val="zh-CN"/>
        </w:rPr>
        <w:t>。</w:t>
      </w:r>
    </w:p>
    <w:p w14:paraId="647B6250">
      <w:pPr>
        <w:pStyle w:val="3"/>
        <w:rPr>
          <w:rFonts w:ascii="Times New Roman" w:hAnsi="Times New Roman"/>
        </w:rPr>
      </w:pPr>
      <w:bookmarkStart w:id="86" w:name="_Toc10437"/>
      <w:bookmarkStart w:id="87" w:name="_Toc80888325"/>
      <w:bookmarkStart w:id="88" w:name="_Toc80888201"/>
      <w:bookmarkStart w:id="89" w:name="_Toc118217839"/>
      <w:r>
        <w:rPr>
          <w:rFonts w:ascii="Times New Roman" w:hAnsi="Times New Roman"/>
        </w:rPr>
        <w:t>十、其他应予说明的事项</w:t>
      </w:r>
      <w:bookmarkEnd w:id="86"/>
      <w:bookmarkEnd w:id="87"/>
      <w:bookmarkEnd w:id="88"/>
      <w:bookmarkEnd w:id="89"/>
    </w:p>
    <w:p w14:paraId="6C778E45">
      <w:pPr>
        <w:spacing w:line="360" w:lineRule="auto"/>
        <w:ind w:firstLine="480"/>
        <w:rPr>
          <w:rStyle w:val="14"/>
          <w:kern w:val="0"/>
        </w:rPr>
      </w:pPr>
      <w:r>
        <w:rPr>
          <w:rFonts w:eastAsia="仿宋"/>
          <w:sz w:val="24"/>
          <w:lang w:val="zh-CN"/>
        </w:rPr>
        <w:t>无</w:t>
      </w:r>
      <w:r>
        <w:rPr>
          <w:rFonts w:hint="eastAsia" w:eastAsia="仿宋"/>
          <w:sz w:val="24"/>
          <w:lang w:val="zh-CN"/>
        </w:rPr>
        <w:t>。</w:t>
      </w:r>
    </w:p>
    <w:p w14:paraId="4199ECE5">
      <w:pPr>
        <w:spacing w:line="360" w:lineRule="auto"/>
        <w:ind w:firstLine="480"/>
        <w:rPr>
          <w:rFonts w:eastAsia="仿宋"/>
          <w:sz w:val="24"/>
          <w:lang w:val="zh-CN"/>
        </w:rPr>
      </w:pPr>
    </w:p>
    <w:p w14:paraId="4921E289">
      <w:pPr>
        <w:tabs>
          <w:tab w:val="left" w:pos="1260"/>
        </w:tabs>
        <w:spacing w:line="360" w:lineRule="auto"/>
        <w:ind w:firstLine="480" w:firstLineChars="200"/>
        <w:rPr>
          <w:rFonts w:eastAsia="仿宋"/>
          <w:sz w:val="24"/>
        </w:rPr>
      </w:pPr>
    </w:p>
    <w:p w14:paraId="33FC7757">
      <w:pPr>
        <w:spacing w:line="360" w:lineRule="auto"/>
        <w:ind w:firstLine="480"/>
      </w:pPr>
    </w:p>
    <w:p w14:paraId="777B08B6">
      <w:pPr>
        <w:spacing w:line="360" w:lineRule="auto"/>
        <w:ind w:firstLine="480"/>
        <w:rPr>
          <w:lang w:val="zh-CN"/>
        </w:rPr>
      </w:pPr>
    </w:p>
    <w:p w14:paraId="460A3297">
      <w:pPr>
        <w:spacing w:line="360" w:lineRule="auto"/>
        <w:ind w:firstLine="480"/>
        <w:rPr>
          <w:rFonts w:eastAsia="仿宋"/>
          <w:sz w:val="24"/>
        </w:rPr>
      </w:pPr>
    </w:p>
    <w:p w14:paraId="1043AA18"/>
    <w:sectPr>
      <w:footerReference r:id="rId5"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47A19">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6F1435">
                          <w:pPr>
                            <w:pStyle w:val="7"/>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76F1435">
                    <w:pPr>
                      <w:pStyle w:val="7"/>
                    </w:pPr>
                  </w:p>
                </w:txbxContent>
              </v:textbox>
            </v:shape>
          </w:pict>
        </mc:Fallback>
      </mc:AlternateConten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7103D">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DFE4B1">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DDFE4B1">
                    <w:pPr>
                      <w:pStyle w:val="7"/>
                    </w:pPr>
                    <w:r>
                      <w:fldChar w:fldCharType="begin"/>
                    </w:r>
                    <w:r>
                      <w:instrText xml:space="preserve"> PAGE  \* MERGEFORMAT </w:instrText>
                    </w:r>
                    <w:r>
                      <w:fldChar w:fldCharType="separate"/>
                    </w:r>
                    <w:r>
                      <w:t>3</w:t>
                    </w:r>
                    <w:r>
                      <w:fldChar w:fldCharType="end"/>
                    </w:r>
                  </w:p>
                </w:txbxContent>
              </v:textbox>
            </v:shape>
          </w:pict>
        </mc:Fallback>
      </mc:AlternateContent>
    </w: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84BB0">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05BDAA"/>
    <w:multiLevelType w:val="singleLevel"/>
    <w:tmpl w:val="BA05BDAA"/>
    <w:lvl w:ilvl="0" w:tentative="0">
      <w:start w:val="1"/>
      <w:numFmt w:val="decimal"/>
      <w:suff w:val="nothing"/>
      <w:lvlText w:val="（%1）"/>
      <w:lvlJc w:val="left"/>
    </w:lvl>
  </w:abstractNum>
  <w:abstractNum w:abstractNumId="1">
    <w:nsid w:val="20C19EDC"/>
    <w:multiLevelType w:val="singleLevel"/>
    <w:tmpl w:val="20C19EDC"/>
    <w:lvl w:ilvl="0" w:tentative="0">
      <w:start w:val="2"/>
      <w:numFmt w:val="chineseCounting"/>
      <w:suff w:val="nothing"/>
      <w:lvlText w:val="（%1）"/>
      <w:lvlJc w:val="left"/>
      <w:rPr>
        <w:rFonts w:hint="eastAsia"/>
      </w:rPr>
    </w:lvl>
  </w:abstractNum>
  <w:abstractNum w:abstractNumId="2">
    <w:nsid w:val="42EF12C7"/>
    <w:multiLevelType w:val="multilevel"/>
    <w:tmpl w:val="42EF12C7"/>
    <w:lvl w:ilvl="0" w:tentative="0">
      <w:start w:val="1"/>
      <w:numFmt w:val="decimal"/>
      <w:pStyle w:val="2"/>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3">
    <w:nsid w:val="45B892F6"/>
    <w:multiLevelType w:val="singleLevel"/>
    <w:tmpl w:val="45B892F6"/>
    <w:lvl w:ilvl="0" w:tentative="0">
      <w:start w:val="1"/>
      <w:numFmt w:val="decimal"/>
      <w:suff w:val="nothing"/>
      <w:lvlText w:val="%1、"/>
      <w:lvlJc w:val="left"/>
    </w:lvl>
  </w:abstractNum>
  <w:abstractNum w:abstractNumId="4">
    <w:nsid w:val="7EB9982B"/>
    <w:multiLevelType w:val="singleLevel"/>
    <w:tmpl w:val="7EB9982B"/>
    <w:lvl w:ilvl="0" w:tentative="0">
      <w:start w:val="2"/>
      <w:numFmt w:val="decimal"/>
      <w:suff w:val="nothing"/>
      <w:lvlText w:val="（%1）"/>
      <w:lvlJc w:val="left"/>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dlMTJmYmNkYzE3ZTJlNzk5YmIxZTI2ZTU0ZWU2YjgifQ=="/>
  </w:docVars>
  <w:rsids>
    <w:rsidRoot w:val="14675BEF"/>
    <w:rsid w:val="00133D89"/>
    <w:rsid w:val="004C7876"/>
    <w:rsid w:val="006525F9"/>
    <w:rsid w:val="00922147"/>
    <w:rsid w:val="00A562A1"/>
    <w:rsid w:val="06637E57"/>
    <w:rsid w:val="0A127337"/>
    <w:rsid w:val="0B9E3140"/>
    <w:rsid w:val="12A054A4"/>
    <w:rsid w:val="14675BEF"/>
    <w:rsid w:val="189270E7"/>
    <w:rsid w:val="189F34BA"/>
    <w:rsid w:val="1CE65D41"/>
    <w:rsid w:val="299B2AF7"/>
    <w:rsid w:val="2A8507FD"/>
    <w:rsid w:val="2B8B0E4C"/>
    <w:rsid w:val="3FA73D45"/>
    <w:rsid w:val="47496E44"/>
    <w:rsid w:val="49B278D1"/>
    <w:rsid w:val="4EDA044C"/>
    <w:rsid w:val="51E03964"/>
    <w:rsid w:val="5FAD16DE"/>
    <w:rsid w:val="60AE7E03"/>
    <w:rsid w:val="6A132A85"/>
    <w:rsid w:val="6DBB4D72"/>
    <w:rsid w:val="718A7AD1"/>
    <w:rsid w:val="751853F4"/>
    <w:rsid w:val="7AEC6F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iPriority="99"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numPr>
        <w:ilvl w:val="0"/>
        <w:numId w:val="1"/>
      </w:numPr>
      <w:spacing w:before="240" w:after="240"/>
      <w:ind w:left="431" w:hanging="431"/>
      <w:outlineLvl w:val="0"/>
    </w:pPr>
    <w:rPr>
      <w:rFonts w:ascii="黑体" w:hAnsi="黑体" w:eastAsia="黑体"/>
      <w:b/>
      <w:bCs/>
      <w:kern w:val="44"/>
      <w:szCs w:val="44"/>
    </w:rPr>
  </w:style>
  <w:style w:type="paragraph" w:styleId="3">
    <w:name w:val="heading 2"/>
    <w:basedOn w:val="1"/>
    <w:next w:val="1"/>
    <w:qFormat/>
    <w:uiPriority w:val="0"/>
    <w:pPr>
      <w:keepNext/>
      <w:keepLines/>
      <w:spacing w:before="260" w:after="260"/>
      <w:outlineLvl w:val="1"/>
    </w:pPr>
    <w:rPr>
      <w:rFonts w:ascii="Arial" w:hAnsi="Arial" w:eastAsia="黑体"/>
      <w:b/>
      <w:bCs/>
      <w:sz w:val="28"/>
      <w:szCs w:val="32"/>
    </w:rPr>
  </w:style>
  <w:style w:type="paragraph" w:styleId="4">
    <w:name w:val="heading 3"/>
    <w:basedOn w:val="1"/>
    <w:next w:val="1"/>
    <w:qFormat/>
    <w:uiPriority w:val="0"/>
    <w:pPr>
      <w:keepNext/>
      <w:keepLines/>
      <w:spacing w:before="60" w:after="60" w:line="415" w:lineRule="auto"/>
      <w:outlineLvl w:val="2"/>
    </w:pPr>
    <w:rPr>
      <w:rFonts w:eastAsia="楷体_GB2312"/>
      <w:b/>
      <w:bCs/>
      <w:sz w:val="24"/>
      <w:szCs w:val="32"/>
    </w:rPr>
  </w:style>
  <w:style w:type="paragraph" w:styleId="5">
    <w:name w:val="heading 4"/>
    <w:basedOn w:val="1"/>
    <w:next w:val="1"/>
    <w:qFormat/>
    <w:uiPriority w:val="0"/>
    <w:pPr>
      <w:keepNext/>
      <w:keepLines/>
      <w:spacing w:before="60" w:after="60" w:line="377" w:lineRule="auto"/>
      <w:outlineLvl w:val="3"/>
    </w:pPr>
    <w:rPr>
      <w:rFonts w:ascii="Arial" w:hAnsi="Arial" w:eastAsia="楷体"/>
      <w:b/>
      <w:bCs/>
      <w:sz w:val="24"/>
      <w:szCs w:val="28"/>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qFormat/>
    <w:uiPriority w:val="39"/>
    <w:pPr>
      <w:ind w:left="840" w:leftChars="400"/>
    </w:p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endnote reference"/>
    <w:unhideWhenUsed/>
    <w:qFormat/>
    <w:uiPriority w:val="99"/>
    <w:rPr>
      <w:vertAlign w:val="superscript"/>
    </w:rPr>
  </w:style>
  <w:style w:type="character" w:styleId="15">
    <w:name w:val="page number"/>
    <w:basedOn w:val="13"/>
    <w:qFormat/>
    <w:uiPriority w:val="0"/>
  </w:style>
  <w:style w:type="character" w:styleId="16">
    <w:name w:val="Hyperlink"/>
    <w:basedOn w:val="13"/>
    <w:semiHidden/>
    <w:unhideWhenUsed/>
    <w:qFormat/>
    <w:uiPriority w:val="99"/>
    <w:rPr>
      <w:color w:val="0000FF"/>
      <w:u w:val="single"/>
    </w:rPr>
  </w:style>
  <w:style w:type="paragraph" w:customStyle="1" w:styleId="17">
    <w:name w:val="段"/>
    <w:qFormat/>
    <w:uiPriority w:val="0"/>
    <w:pPr>
      <w:autoSpaceDE w:val="0"/>
      <w:autoSpaceDN w:val="0"/>
      <w:ind w:firstLine="420" w:firstLineChars="200"/>
      <w:jc w:val="both"/>
    </w:pPr>
    <w:rPr>
      <w:rFonts w:ascii="宋体" w:hAnsi="Times New Roman" w:eastAsia="宋体" w:cs="Times New Roman"/>
      <w:sz w:val="21"/>
      <w:lang w:val="en-US" w:eastAsia="zh-CN" w:bidi="ar-SA"/>
    </w:rPr>
  </w:style>
  <w:style w:type="paragraph" w:styleId="18">
    <w:name w:val="List Paragraph"/>
    <w:basedOn w:val="1"/>
    <w:unhideWhenUsed/>
    <w:qFormat/>
    <w:uiPriority w:val="99"/>
    <w:pPr>
      <w:ind w:firstLine="420" w:firstLineChars="200"/>
    </w:pPr>
  </w:style>
  <w:style w:type="paragraph" w:customStyle="1" w:styleId="19">
    <w:name w:val="WPSOffice手动目录 1"/>
    <w:qFormat/>
    <w:uiPriority w:val="0"/>
    <w:rPr>
      <w:rFonts w:ascii="Times New Roman" w:hAnsi="Times New Roman" w:eastAsia="宋体" w:cs="Times New Roman"/>
      <w:lang w:val="en-US" w:eastAsia="zh-CN" w:bidi="ar-SA"/>
    </w:rPr>
  </w:style>
  <w:style w:type="paragraph" w:customStyle="1" w:styleId="2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1">
    <w:name w:val="WPSOffice手动目录 3"/>
    <w:qFormat/>
    <w:uiPriority w:val="0"/>
    <w:pPr>
      <w:ind w:left="400" w:leftChars="4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E:\Rosie%203.0\ZHONGLEI\202107&#19996;&#21488;&#39033;&#30446;\&#34892;&#19994;&#26631;&#20934;\&#20013;&#22269;&#27839;&#28023;&#27700;&#40479;&#29289;&#31181;&#21517;&#2440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水深需求!$C$3</c:f>
              <c:strCache>
                <c:ptCount val="1"/>
                <c:pt idx="0">
                  <c:v>辅助列</c:v>
                </c:pt>
              </c:strCache>
            </c:strRef>
          </c:tx>
          <c:spPr>
            <a:noFill/>
            <a:ln>
              <a:noFill/>
            </a:ln>
            <a:effectLst/>
          </c:spPr>
          <c:invertIfNegative val="0"/>
          <c:dLbls>
            <c:delete val="1"/>
          </c:dLbls>
          <c:cat>
            <c:strRef>
              <c:f>水深需求!$B$4:$B$8</c:f>
              <c:strCache>
                <c:ptCount val="5"/>
                <c:pt idx="0">
                  <c:v>小型鸻鹬</c:v>
                </c:pt>
                <c:pt idx="1">
                  <c:v>大型鸻鹬</c:v>
                </c:pt>
                <c:pt idx="2">
                  <c:v>大型涉禽</c:v>
                </c:pt>
                <c:pt idx="3">
                  <c:v>游禽</c:v>
                </c:pt>
                <c:pt idx="4">
                  <c:v>潜鸟</c:v>
                </c:pt>
              </c:strCache>
            </c:strRef>
          </c:cat>
          <c:val>
            <c:numRef>
              <c:f>水深需求!$C$4:$C$8</c:f>
              <c:numCache>
                <c:formatCode>General</c:formatCode>
                <c:ptCount val="5"/>
                <c:pt idx="0">
                  <c:v>0</c:v>
                </c:pt>
                <c:pt idx="1">
                  <c:v>0</c:v>
                </c:pt>
                <c:pt idx="2">
                  <c:v>0</c:v>
                </c:pt>
                <c:pt idx="3">
                  <c:v>0</c:v>
                </c:pt>
                <c:pt idx="4">
                  <c:v>25</c:v>
                </c:pt>
              </c:numCache>
            </c:numRef>
          </c:val>
        </c:ser>
        <c:ser>
          <c:idx val="1"/>
          <c:order val="1"/>
          <c:tx>
            <c:strRef>
              <c:f>水深需求!$D$3</c:f>
              <c:strCache>
                <c:ptCount val="1"/>
                <c:pt idx="0">
                  <c:v>水深</c:v>
                </c:pt>
              </c:strCache>
            </c:strRef>
          </c:tx>
          <c:spPr>
            <a:solidFill>
              <a:schemeClr val="tx1">
                <a:lumMod val="50000"/>
                <a:lumOff val="50000"/>
              </a:schemeClr>
            </a:solidFill>
            <a:ln>
              <a:noFill/>
            </a:ln>
            <a:effectLst/>
          </c:spPr>
          <c:invertIfNegative val="0"/>
          <c:dLbls>
            <c:delete val="1"/>
          </c:dLbls>
          <c:cat>
            <c:strRef>
              <c:f>水深需求!$B$4:$B$8</c:f>
              <c:strCache>
                <c:ptCount val="5"/>
                <c:pt idx="0">
                  <c:v>小型鸻鹬</c:v>
                </c:pt>
                <c:pt idx="1">
                  <c:v>大型鸻鹬</c:v>
                </c:pt>
                <c:pt idx="2">
                  <c:v>大型涉禽</c:v>
                </c:pt>
                <c:pt idx="3">
                  <c:v>游禽</c:v>
                </c:pt>
                <c:pt idx="4">
                  <c:v>潜鸟</c:v>
                </c:pt>
              </c:strCache>
            </c:strRef>
          </c:cat>
          <c:val>
            <c:numRef>
              <c:f>水深需求!$D$4:$D$8</c:f>
              <c:numCache>
                <c:formatCode>General</c:formatCode>
                <c:ptCount val="5"/>
                <c:pt idx="0">
                  <c:v>5</c:v>
                </c:pt>
                <c:pt idx="1">
                  <c:v>20</c:v>
                </c:pt>
                <c:pt idx="2">
                  <c:v>30</c:v>
                </c:pt>
                <c:pt idx="3">
                  <c:v>55</c:v>
                </c:pt>
                <c:pt idx="4">
                  <c:v>30</c:v>
                </c:pt>
              </c:numCache>
            </c:numRef>
          </c:val>
        </c:ser>
        <c:dLbls>
          <c:showLegendKey val="0"/>
          <c:showVal val="0"/>
          <c:showCatName val="0"/>
          <c:showSerName val="0"/>
          <c:showPercent val="0"/>
          <c:showBubbleSize val="0"/>
        </c:dLbls>
        <c:gapWidth val="100"/>
        <c:overlap val="100"/>
        <c:axId val="231772928"/>
        <c:axId val="231774464"/>
      </c:barChart>
      <c:catAx>
        <c:axId val="231772928"/>
        <c:scaling>
          <c:orientation val="minMax"/>
        </c:scaling>
        <c:delete val="0"/>
        <c:axPos val="b"/>
        <c:numFmt formatCode="General" sourceLinked="1"/>
        <c:majorTickMark val="in"/>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1000" b="0" i="0" u="none" strike="noStrike" kern="1200" baseline="0">
                <a:solidFill>
                  <a:schemeClr val="tx1">
                    <a:lumMod val="65000"/>
                    <a:lumOff val="35000"/>
                  </a:schemeClr>
                </a:solidFill>
                <a:latin typeface="宋体" panose="02010600030101010101" charset="-122"/>
                <a:ea typeface="宋体" panose="02010600030101010101" charset="-122"/>
                <a:cs typeface="+mn-cs"/>
              </a:defRPr>
            </a:pPr>
          </a:p>
        </c:txPr>
        <c:crossAx val="231774464"/>
        <c:crosses val="autoZero"/>
        <c:auto val="1"/>
        <c:lblAlgn val="ctr"/>
        <c:lblOffset val="100"/>
        <c:noMultiLvlLbl val="0"/>
      </c:catAx>
      <c:valAx>
        <c:axId val="231774464"/>
        <c:scaling>
          <c:orientation val="minMax"/>
        </c:scaling>
        <c:delete val="0"/>
        <c:axPos val="l"/>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Times New Roman" panose="02020603050405020304" charset="0"/>
                    <a:ea typeface="宋体" panose="02010600030101010101" charset="-122"/>
                    <a:cs typeface="Times New Roman" panose="02020603050405020304" charset="0"/>
                  </a:defRPr>
                </a:pPr>
                <a:r>
                  <a:rPr lang="zh-CN" altLang="en-US">
                    <a:latin typeface="Times New Roman" panose="02020603050405020304" charset="0"/>
                    <a:ea typeface="宋体" panose="02010600030101010101" charset="-122"/>
                    <a:cs typeface="Times New Roman" panose="02020603050405020304" charset="0"/>
                  </a:rPr>
                  <a:t>水深（</a:t>
                </a:r>
                <a:r>
                  <a:rPr lang="en-US" altLang="zh-CN">
                    <a:latin typeface="Times New Roman" panose="02020603050405020304" charset="0"/>
                    <a:ea typeface="宋体" panose="02010600030101010101" charset="-122"/>
                    <a:cs typeface="Times New Roman" panose="02020603050405020304" charset="0"/>
                  </a:rPr>
                  <a:t>cm</a:t>
                </a:r>
                <a:r>
                  <a:rPr lang="zh-CN" altLang="en-US">
                    <a:latin typeface="Times New Roman" panose="02020603050405020304" charset="0"/>
                    <a:ea typeface="宋体" panose="02010600030101010101" charset="-122"/>
                    <a:cs typeface="Times New Roman" panose="02020603050405020304" charset="0"/>
                  </a:rPr>
                  <a:t>）</a:t>
                </a:r>
                <a:endParaRPr lang="zh-CN" altLang="en-US">
                  <a:latin typeface="Times New Roman" panose="02020603050405020304" charset="0"/>
                  <a:ea typeface="宋体" panose="02010600030101010101" charset="-122"/>
                  <a:cs typeface="Times New Roman" panose="02020603050405020304" charset="0"/>
                </a:endParaRPr>
              </a:p>
            </c:rich>
          </c:tx>
          <c:layout/>
          <c:overlay val="0"/>
          <c:spPr>
            <a:noFill/>
            <a:ln>
              <a:noFill/>
            </a:ln>
            <a:effectLst/>
          </c:spPr>
        </c:title>
        <c:numFmt formatCode="General" sourceLinked="1"/>
        <c:majorTickMark val="in"/>
        <c:minorTickMark val="none"/>
        <c:tickLblPos val="nextTo"/>
        <c:spPr>
          <a:noFill/>
          <a:ln w="6350" cap="flat" cmpd="sng" algn="ctr">
            <a:solidFill>
              <a:schemeClr val="accent1"/>
            </a:solidFill>
            <a:prstDash val="solid"/>
            <a:round/>
          </a:ln>
          <a:effectLst/>
        </c:spPr>
        <c:txPr>
          <a:bodyPr rot="-60000000" spcFirstLastPara="1" vertOverflow="ellipsis" vert="horz" wrap="square" anchor="ctr" anchorCtr="1"/>
          <a:lstStyle/>
          <a:p>
            <a:pPr>
              <a:defRPr lang="zh-CN" sz="10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p>
        </c:txPr>
        <c:crossAx val="23177292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7598</Words>
  <Characters>8848</Characters>
  <Lines>83</Lines>
  <Paragraphs>23</Paragraphs>
  <TotalTime>8</TotalTime>
  <ScaleCrop>false</ScaleCrop>
  <LinksUpToDate>false</LinksUpToDate>
  <CharactersWithSpaces>9205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2024-07-10T05:30:00Z</dcterms:created>
  <dc:creator>Fu Ting</dc:creator>
  <cp:lastModifiedBy>王华</cp:lastModifiedBy>
  <dcterms:modified xsi:type="dcterms:W3CDTF">2024-08-22T01:08:29Z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0E1420E26B30439FAC7B7891A7C010D1_13</vt:lpwstr>
  </property>
</Properties>
</file>